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Calibri" w:eastAsia="Calibri" w:hAnsi="Calibri" w:cs="Times New Roman"/>
        </w:rPr>
      </w:pPr>
      <w:bookmarkStart w:id="0" w:name="_GoBack"/>
      <w:bookmarkEnd w:id="0"/>
      <w:r>
        <w:rPr>
          <w:rFonts w:ascii="Calibri" w:eastAsia="Calibri" w:hAnsi="Calibri" w:cs="Times New Roman"/>
          <w:i/>
          <w:noProof/>
          <w:sz w:val="32"/>
          <w:szCs w:val="32"/>
          <w:lang w:eastAsia="en-GB"/>
        </w:rPr>
        <mc:AlternateContent>
          <mc:Choice Requires="wps">
            <w:drawing>
              <wp:anchor distT="45720" distB="45720" distL="114300" distR="114300" simplePos="0" relativeHeight="251663360" behindDoc="0" locked="0" layoutInCell="1" allowOverlap="1">
                <wp:simplePos x="0" y="0"/>
                <wp:positionH relativeFrom="margin">
                  <wp:posOffset>2192020</wp:posOffset>
                </wp:positionH>
                <wp:positionV relativeFrom="paragraph">
                  <wp:posOffset>0</wp:posOffset>
                </wp:positionV>
                <wp:extent cx="4667250" cy="28619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61945"/>
                        </a:xfrm>
                        <a:prstGeom prst="rect">
                          <a:avLst/>
                        </a:prstGeom>
                        <a:solidFill>
                          <a:srgbClr val="FFFFFF"/>
                        </a:solidFill>
                        <a:ln w="9525">
                          <a:noFill/>
                          <a:miter lim="800000"/>
                          <a:headEnd/>
                          <a:tailEnd/>
                        </a:ln>
                      </wps:spPr>
                      <wps:txbx>
                        <w:txbxContent>
                          <w:p>
                            <w:pPr>
                              <w:jc w:val="right"/>
                              <w:rPr>
                                <w:sz w:val="32"/>
                                <w:szCs w:val="32"/>
                              </w:rPr>
                            </w:pPr>
                            <w:r>
                              <w:rPr>
                                <w:sz w:val="32"/>
                                <w:szCs w:val="32"/>
                              </w:rPr>
                              <w:t xml:space="preserve">Date of review: October 2022 </w:t>
                            </w:r>
                          </w:p>
                          <w:p>
                            <w:pPr>
                              <w:jc w:val="right"/>
                              <w:rPr>
                                <w:sz w:val="32"/>
                                <w:szCs w:val="32"/>
                              </w:rPr>
                            </w:pPr>
                            <w:r>
                              <w:rPr>
                                <w:sz w:val="32"/>
                                <w:szCs w:val="32"/>
                              </w:rPr>
                              <w:t xml:space="preserve">Date approved:  </w:t>
                            </w:r>
                          </w:p>
                          <w:p>
                            <w:pPr>
                              <w:jc w:val="right"/>
                              <w:rPr>
                                <w:sz w:val="32"/>
                                <w:szCs w:val="32"/>
                              </w:rPr>
                            </w:pPr>
                            <w:r>
                              <w:rPr>
                                <w:sz w:val="32"/>
                                <w:szCs w:val="32"/>
                              </w:rPr>
                              <w:t xml:space="preserve">Date for next review: September 2024 </w:t>
                            </w:r>
                          </w:p>
                          <w:p>
                            <w:pPr>
                              <w:jc w:val="right"/>
                              <w:rPr>
                                <w:sz w:val="40"/>
                                <w:szCs w:val="40"/>
                              </w:rPr>
                            </w:pPr>
                            <w:r>
                              <w:rPr>
                                <w:sz w:val="32"/>
                                <w:szCs w:val="32"/>
                              </w:rPr>
                              <w:t>Author: 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6pt;margin-top:0;width:367.5pt;height:225.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tqIgIAAB4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" stroked="f">
                <v:textbox>
                  <w:txbxContent>
                    <w:p>
                      <w:pPr>
                        <w:jc w:val="right"/>
                        <w:rPr>
                          <w:sz w:val="32"/>
                          <w:szCs w:val="32"/>
                        </w:rPr>
                      </w:pPr>
                      <w:r>
                        <w:rPr>
                          <w:sz w:val="32"/>
                          <w:szCs w:val="32"/>
                        </w:rPr>
                        <w:t xml:space="preserve">Date of review: October 2022 </w:t>
                      </w:r>
                    </w:p>
                    <w:p>
                      <w:pPr>
                        <w:jc w:val="right"/>
                        <w:rPr>
                          <w:sz w:val="32"/>
                          <w:szCs w:val="32"/>
                        </w:rPr>
                      </w:pPr>
                      <w:r>
                        <w:rPr>
                          <w:sz w:val="32"/>
                          <w:szCs w:val="32"/>
                        </w:rPr>
                        <w:t xml:space="preserve">Date approved:  </w:t>
                      </w:r>
                    </w:p>
                    <w:p>
                      <w:pPr>
                        <w:jc w:val="right"/>
                        <w:rPr>
                          <w:sz w:val="32"/>
                          <w:szCs w:val="32"/>
                        </w:rPr>
                      </w:pPr>
                      <w:r>
                        <w:rPr>
                          <w:sz w:val="32"/>
                          <w:szCs w:val="32"/>
                        </w:rPr>
                        <w:t xml:space="preserve">Date for next review: September 2024 </w:t>
                      </w:r>
                    </w:p>
                    <w:p>
                      <w:pPr>
                        <w:jc w:val="right"/>
                        <w:rPr>
                          <w:sz w:val="40"/>
                          <w:szCs w:val="40"/>
                        </w:rPr>
                      </w:pPr>
                      <w:r>
                        <w:rPr>
                          <w:sz w:val="32"/>
                          <w:szCs w:val="32"/>
                        </w:rPr>
                        <w:t>Author: CES</w:t>
                      </w:r>
                    </w:p>
                  </w:txbxContent>
                </v:textbox>
                <w10:wrap type="square" anchorx="margin"/>
              </v:shape>
            </w:pict>
          </mc:Fallback>
        </mc:AlternateContent>
      </w:r>
      <w:r>
        <w:rPr>
          <w:rFonts w:ascii="Calibri" w:eastAsia="Calibri" w:hAnsi="Calibri" w:cs="Times New Roman"/>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1638300</wp:posOffset>
                </wp:positionH>
                <wp:positionV relativeFrom="paragraph">
                  <wp:posOffset>8498205</wp:posOffset>
                </wp:positionV>
                <wp:extent cx="5220970"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276350"/>
                        </a:xfrm>
                        <a:prstGeom prst="rect">
                          <a:avLst/>
                        </a:prstGeom>
                        <a:solidFill>
                          <a:srgbClr val="FFFFFF"/>
                        </a:solidFill>
                        <a:ln w="9525">
                          <a:noFill/>
                          <a:miter lim="800000"/>
                          <a:headEnd/>
                          <a:tailEnd/>
                        </a:ln>
                      </wps:spPr>
                      <wps:txbx>
                        <w:txbxContent>
                          <w:p>
                            <w:pPr>
                              <w:jc w:val="both"/>
                              <w:rPr>
                                <w:rFonts w:ascii="Calibri Light" w:eastAsia="Times New Roman" w:hAnsi="Calibri Light" w:cs="Calibri Light"/>
                                <w:color w:val="2E74B5"/>
                                <w:sz w:val="36"/>
                                <w:szCs w:val="36"/>
                              </w:rPr>
                            </w:pPr>
                            <w:bookmarkStart w:id="1" w:name="_Hlk54002840"/>
                            <w:r>
                              <w:rPr>
                                <w:rFonts w:ascii="Calibri Light" w:eastAsia="Times New Roman" w:hAnsi="Calibri Light" w:cs="Calibri Light"/>
                                <w:color w:val="2E74B5"/>
                                <w:sz w:val="36"/>
                                <w:szCs w:val="36"/>
                              </w:rPr>
                              <w:t>Mission Statement:</w:t>
                            </w:r>
                          </w:p>
                          <w:p>
                            <w:pPr>
                              <w:rPr>
                                <w:rFonts w:ascii="Calibri" w:eastAsia="Calibri" w:hAnsi="Calibri" w:cs="Times New Roman"/>
                                <w:color w:val="2E74B5"/>
                                <w:sz w:val="36"/>
                                <w:szCs w:val="36"/>
                              </w:rPr>
                            </w:pPr>
                            <w:r>
                              <w:rPr>
                                <w:rFonts w:ascii="Calibri Light" w:eastAsia="Times New Roman" w:hAnsi="Calibri Light" w:cs="Calibri Light"/>
                                <w:color w:val="2E74B5"/>
                                <w:sz w:val="36"/>
                                <w:szCs w:val="36"/>
                              </w:rPr>
                              <w:t>Let the light and splendour of Christ shine from within us all.</w:t>
                            </w:r>
                          </w:p>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9pt;margin-top:669.15pt;width:411.1pt;height:10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" stroked="f">
                <v:textbox>
                  <w:txbxContent>
                    <w:p>
                      <w:pPr>
                        <w:jc w:val="both"/>
                        <w:rPr>
                          <w:rFonts w:ascii="Calibri Light" w:eastAsia="Times New Roman" w:hAnsi="Calibri Light" w:cs="Calibri Light"/>
                          <w:color w:val="2E74B5"/>
                          <w:sz w:val="36"/>
                          <w:szCs w:val="36"/>
                        </w:rPr>
                      </w:pPr>
                      <w:bookmarkStart w:id="2" w:name="_Hlk54002840"/>
                      <w:r>
                        <w:rPr>
                          <w:rFonts w:ascii="Calibri Light" w:eastAsia="Times New Roman" w:hAnsi="Calibri Light" w:cs="Calibri Light"/>
                          <w:color w:val="2E74B5"/>
                          <w:sz w:val="36"/>
                          <w:szCs w:val="36"/>
                        </w:rPr>
                        <w:t>Mission Statement:</w:t>
                      </w:r>
                    </w:p>
                    <w:p>
                      <w:pPr>
                        <w:rPr>
                          <w:rFonts w:ascii="Calibri" w:eastAsia="Calibri" w:hAnsi="Calibri" w:cs="Times New Roman"/>
                          <w:color w:val="2E74B5"/>
                          <w:sz w:val="36"/>
                          <w:szCs w:val="36"/>
                        </w:rPr>
                      </w:pPr>
                      <w:r>
                        <w:rPr>
                          <w:rFonts w:ascii="Calibri Light" w:eastAsia="Times New Roman" w:hAnsi="Calibri Light" w:cs="Calibri Light"/>
                          <w:color w:val="2E74B5"/>
                          <w:sz w:val="36"/>
                          <w:szCs w:val="36"/>
                        </w:rPr>
                        <w:t>Let the light and splendour of Christ shine from within us all.</w:t>
                      </w:r>
                    </w:p>
                    <w:bookmarkEnd w:id="2"/>
                    <w:p/>
                  </w:txbxContent>
                </v:textbox>
                <w10:wrap type="square" anchorx="margin"/>
              </v:shape>
            </w:pict>
          </mc:Fallback>
        </mc:AlternateContent>
      </w:r>
      <w:r>
        <w:rPr>
          <w:rFonts w:ascii="Calibri" w:eastAsia="Calibri" w:hAnsi="Calibri" w:cs="Times New Roman"/>
          <w:noProof/>
          <w:color w:val="2F5496"/>
          <w:lang w:eastAsia="en-GB"/>
        </w:rPr>
        <mc:AlternateContent>
          <mc:Choice Requires="wps">
            <w:drawing>
              <wp:anchor distT="91440" distB="91440" distL="114300" distR="114300" simplePos="0" relativeHeight="251659264" behindDoc="1" locked="0" layoutInCell="1" allowOverlap="1">
                <wp:simplePos x="0" y="0"/>
                <wp:positionH relativeFrom="page">
                  <wp:posOffset>-4138295</wp:posOffset>
                </wp:positionH>
                <wp:positionV relativeFrom="paragraph">
                  <wp:posOffset>4262120</wp:posOffset>
                </wp:positionV>
                <wp:extent cx="99231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23145" cy="1403985"/>
                        </a:xfrm>
                        <a:prstGeom prst="rect">
                          <a:avLst/>
                        </a:prstGeom>
                        <a:noFill/>
                        <a:ln w="9525">
                          <a:noFill/>
                          <a:miter lim="800000"/>
                          <a:headEnd/>
                          <a:tailEnd/>
                        </a:ln>
                      </wps:spPr>
                      <wps:txbx>
                        <w:txbxContent>
                          <w:p>
                            <w:pPr>
                              <w:pBdr>
                                <w:top w:val="single" w:sz="24" w:space="8" w:color="5B9BD5"/>
                                <w:bottom w:val="single" w:sz="24" w:space="8" w:color="5B9BD5"/>
                              </w:pBdr>
                              <w:spacing w:after="0"/>
                              <w:rPr>
                                <w:i/>
                                <w:iCs/>
                                <w:color w:val="5B9BD5"/>
                                <w:sz w:val="144"/>
                                <w:szCs w:val="144"/>
                              </w:rPr>
                            </w:pPr>
                            <w:r>
                              <w:rPr>
                                <w:i/>
                                <w:iCs/>
                                <w:color w:val="5B9BD5"/>
                                <w:sz w:val="144"/>
                                <w:szCs w:val="144"/>
                              </w:rPr>
                              <w:t xml:space="preserve">Aspire </w:t>
                            </w:r>
                            <w:r>
                              <w:rPr>
                                <w:i/>
                                <w:iCs/>
                                <w:color w:val="5B9BD5"/>
                                <w:sz w:val="144"/>
                                <w:szCs w:val="144"/>
                                <w:vertAlign w:val="subscript"/>
                              </w:rPr>
                              <w:t>~</w:t>
                            </w:r>
                            <w:r>
                              <w:rPr>
                                <w:i/>
                                <w:iCs/>
                                <w:color w:val="5B9BD5"/>
                                <w:sz w:val="144"/>
                                <w:szCs w:val="144"/>
                              </w:rPr>
                              <w:t xml:space="preserve"> Believe </w:t>
                            </w:r>
                            <w:r>
                              <w:rPr>
                                <w:i/>
                                <w:iCs/>
                                <w:color w:val="5B9BD5"/>
                                <w:sz w:val="144"/>
                                <w:szCs w:val="144"/>
                                <w:vertAlign w:val="subscript"/>
                              </w:rPr>
                              <w:t>~</w:t>
                            </w:r>
                            <w:r>
                              <w:rPr>
                                <w:i/>
                                <w:iCs/>
                                <w:color w:val="5B9BD5"/>
                                <w:sz w:val="144"/>
                                <w:szCs w:val="144"/>
                              </w:rPr>
                              <w:t xml:space="preserve">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5.85pt;margin-top:335.6pt;width:781.35pt;height:110.55pt;rotation:-90;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" filled="f" stroked="f">
                <v:textbox style="mso-fit-shape-to-text:t">
                  <w:txbxContent>
                    <w:p>
                      <w:pPr>
                        <w:pBdr>
                          <w:top w:val="single" w:sz="24" w:space="8" w:color="5B9BD5"/>
                          <w:bottom w:val="single" w:sz="24" w:space="8" w:color="5B9BD5"/>
                        </w:pBdr>
                        <w:spacing w:after="0"/>
                        <w:rPr>
                          <w:i/>
                          <w:iCs/>
                          <w:color w:val="5B9BD5"/>
                          <w:sz w:val="144"/>
                          <w:szCs w:val="144"/>
                        </w:rPr>
                      </w:pPr>
                      <w:r>
                        <w:rPr>
                          <w:i/>
                          <w:iCs/>
                          <w:color w:val="5B9BD5"/>
                          <w:sz w:val="144"/>
                          <w:szCs w:val="144"/>
                        </w:rPr>
                        <w:t xml:space="preserve">Aspire </w:t>
                      </w:r>
                      <w:r>
                        <w:rPr>
                          <w:i/>
                          <w:iCs/>
                          <w:color w:val="5B9BD5"/>
                          <w:sz w:val="144"/>
                          <w:szCs w:val="144"/>
                          <w:vertAlign w:val="subscript"/>
                        </w:rPr>
                        <w:t>~</w:t>
                      </w:r>
                      <w:r>
                        <w:rPr>
                          <w:i/>
                          <w:iCs/>
                          <w:color w:val="5B9BD5"/>
                          <w:sz w:val="144"/>
                          <w:szCs w:val="144"/>
                        </w:rPr>
                        <w:t xml:space="preserve"> Believe </w:t>
                      </w:r>
                      <w:r>
                        <w:rPr>
                          <w:i/>
                          <w:iCs/>
                          <w:color w:val="5B9BD5"/>
                          <w:sz w:val="144"/>
                          <w:szCs w:val="144"/>
                          <w:vertAlign w:val="subscript"/>
                        </w:rPr>
                        <w:t>~</w:t>
                      </w:r>
                      <w:r>
                        <w:rPr>
                          <w:i/>
                          <w:iCs/>
                          <w:color w:val="5B9BD5"/>
                          <w:sz w:val="144"/>
                          <w:szCs w:val="144"/>
                        </w:rPr>
                        <w:t xml:space="preserve"> Achieve</w:t>
                      </w:r>
                    </w:p>
                  </w:txbxContent>
                </v:textbox>
                <w10:wrap anchorx="page"/>
              </v:shape>
            </w:pict>
          </mc:Fallback>
        </mc:AlternateContent>
      </w:r>
      <w:r>
        <w:rPr>
          <w:rFonts w:ascii="Calibri" w:eastAsia="Calibri" w:hAnsi="Calibri" w:cs="Times New Roman"/>
          <w:i/>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208915</wp:posOffset>
                </wp:positionV>
                <wp:extent cx="450215" cy="301625"/>
                <wp:effectExtent l="0" t="0" r="138430" b="81280"/>
                <wp:wrapNone/>
                <wp:docPr id="12" name="Isosceles Triangle 12"/>
                <wp:cNvGraphicFramePr/>
                <a:graphic xmlns:a="http://schemas.openxmlformats.org/drawingml/2006/main">
                  <a:graphicData uri="http://schemas.microsoft.com/office/word/2010/wordprocessingShape">
                    <wps:wsp>
                      <wps:cNvSpPr/>
                      <wps:spPr>
                        <a:xfrm rot="18587571">
                          <a:off x="0" y="0"/>
                          <a:ext cx="450215" cy="301625"/>
                        </a:xfrm>
                        <a:prstGeom prs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99pt;margin-top:16.45pt;width:35.45pt;height:23.75pt;rotation:-32903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" fillcolor="window" strokecolor="window" strokeweight="1pt"/>
            </w:pict>
          </mc:Fallback>
        </mc:AlternateContent>
      </w:r>
      <w:r>
        <w:rPr>
          <w:rFonts w:ascii="Calibri" w:eastAsia="Calibri" w:hAnsi="Calibri" w:cs="Times New Roman"/>
          <w:i/>
          <w:noProof/>
          <w:color w:val="2E74B5"/>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3689350</wp:posOffset>
                </wp:positionH>
                <wp:positionV relativeFrom="paragraph">
                  <wp:posOffset>52705</wp:posOffset>
                </wp:positionV>
                <wp:extent cx="450682" cy="301769"/>
                <wp:effectExtent l="131445" t="0" r="0" b="81280"/>
                <wp:wrapNone/>
                <wp:docPr id="11" name="Isosceles Triangle 11"/>
                <wp:cNvGraphicFramePr/>
                <a:graphic xmlns:a="http://schemas.openxmlformats.org/drawingml/2006/main">
                  <a:graphicData uri="http://schemas.microsoft.com/office/word/2010/wordprocessingShape">
                    <wps:wsp>
                      <wps:cNvSpPr/>
                      <wps:spPr>
                        <a:xfrm rot="3009783">
                          <a:off x="0" y="0"/>
                          <a:ext cx="450682" cy="301769"/>
                        </a:xfrm>
                        <a:prstGeom prs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 o:spid="_x0000_s1026" type="#_x0000_t5" style="position:absolute;margin-left:290.5pt;margin-top:4.15pt;width:35.5pt;height:23.75pt;rotation:328748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" fillcolor="window" strokecolor="window" strokeweight="1pt"/>
            </w:pict>
          </mc:Fallback>
        </mc:AlternateContent>
      </w:r>
      <w:r>
        <w:rPr>
          <w:rFonts w:ascii="Calibri" w:eastAsia="Calibri" w:hAnsi="Calibri" w:cs="Times New Roman"/>
          <w:i/>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1188085</wp:posOffset>
                </wp:positionH>
                <wp:positionV relativeFrom="paragraph">
                  <wp:posOffset>4128135</wp:posOffset>
                </wp:positionV>
                <wp:extent cx="450682" cy="301769"/>
                <wp:effectExtent l="0" t="133350" r="83185" b="0"/>
                <wp:wrapNone/>
                <wp:docPr id="14" name="Isosceles Triangle 14"/>
                <wp:cNvGraphicFramePr/>
                <a:graphic xmlns:a="http://schemas.openxmlformats.org/drawingml/2006/main">
                  <a:graphicData uri="http://schemas.microsoft.com/office/word/2010/wordprocessingShape">
                    <wps:wsp>
                      <wps:cNvSpPr/>
                      <wps:spPr>
                        <a:xfrm rot="13234810">
                          <a:off x="0" y="0"/>
                          <a:ext cx="450682" cy="301769"/>
                        </a:xfrm>
                        <a:prstGeom prs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93.55pt;margin-top:325.05pt;width:35.5pt;height:23.75pt;rotation:-913701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" fillcolor="window" strokecolor="window" strokeweight="1pt"/>
            </w:pict>
          </mc:Fallback>
        </mc:AlternateContent>
      </w: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jc w:val="center"/>
        <w:rPr>
          <w:rFonts w:ascii="Calibri" w:eastAsia="Calibri" w:hAnsi="Calibri" w:cs="Times New Roman"/>
        </w:rPr>
      </w:pPr>
      <w:r>
        <w:rPr>
          <w:rFonts w:ascii="Calibri" w:eastAsia="Calibri" w:hAnsi="Calibri" w:cs="Times New Roman"/>
          <w:noProof/>
        </w:rPr>
        <w:t xml:space="preserve">                                           </w:t>
      </w:r>
      <w:r>
        <w:rPr>
          <w:rFonts w:ascii="Calibri" w:eastAsia="Calibri" w:hAnsi="Calibri" w:cs="Times New Roman"/>
          <w:noProof/>
        </w:rPr>
        <w:drawing>
          <wp:inline distT="0" distB="0" distL="0" distR="0">
            <wp:extent cx="1499870" cy="144462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1444625"/>
                    </a:xfrm>
                    <a:prstGeom prst="rect">
                      <a:avLst/>
                    </a:prstGeom>
                    <a:noFill/>
                  </pic:spPr>
                </pic:pic>
              </a:graphicData>
            </a:graphic>
          </wp:inline>
        </w:drawing>
      </w:r>
    </w:p>
    <w:p>
      <w:pPr>
        <w:rPr>
          <w:rFonts w:ascii="Calibri" w:eastAsia="Calibri" w:hAnsi="Calibri" w:cs="Times New Roman"/>
        </w:rPr>
      </w:pPr>
      <w:r>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1285875</wp:posOffset>
                </wp:positionH>
                <wp:positionV relativeFrom="paragraph">
                  <wp:posOffset>10160</wp:posOffset>
                </wp:positionV>
                <wp:extent cx="5705475" cy="2905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05475" cy="2905125"/>
                        </a:xfrm>
                        <a:prstGeom prst="rect">
                          <a:avLst/>
                        </a:prstGeom>
                        <a:noFill/>
                        <a:ln>
                          <a:noFill/>
                        </a:ln>
                        <a:effectLst/>
                      </wps:spPr>
                      <wps:txbx>
                        <w:txbxContent>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t>RSE (Relationships and Sex Education)</w:t>
                            </w: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t>Policy (DRAFT)</w:t>
                            </w: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p>
                            <w:pP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01.25pt;margin-top:.8pt;width:449.2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" filled="f" stroked="f">
                <v:textbox>
                  <w:txbxContent>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t>RSE (Relationships and Sex Education)</w:t>
                      </w: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t>Policy (DRAFT)</w:t>
                      </w: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p>
                      <w:pPr>
                        <w:jc w:val="cente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p>
                      <w:pPr>
                        <w:rPr>
                          <w:b/>
                          <w:outline/>
                          <w:noProof/>
                          <w:color w:val="4472C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14:textFill>
                            <w14:noFill/>
                          </w14:textFill>
                        </w:rPr>
                      </w:pPr>
                    </w:p>
                  </w:txbxContent>
                </v:textbox>
              </v:shape>
            </w:pict>
          </mc:Fallback>
        </mc:AlternateContent>
      </w: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rPr>
          <w:rFonts w:ascii="Calibri" w:eastAsia="Calibri" w:hAnsi="Calibri" w:cs="Times New Roman"/>
        </w:rPr>
      </w:pPr>
    </w:p>
    <w:p>
      <w:pPr>
        <w:tabs>
          <w:tab w:val="left" w:pos="3255"/>
        </w:tabs>
        <w:rPr>
          <w:rFonts w:ascii="Calibri" w:eastAsia="Calibri" w:hAnsi="Calibri" w:cs="Times New Roman"/>
        </w:rPr>
      </w:pPr>
      <w:r>
        <w:rPr>
          <w:rFonts w:ascii="Calibri" w:eastAsia="Calibri" w:hAnsi="Calibri" w:cs="Times New Roman"/>
        </w:rPr>
        <w:tab/>
      </w:r>
    </w:p>
    <w:p/>
    <w:p/>
    <w:p/>
    <w:p/>
    <w:p/>
    <w:p/>
    <w:p>
      <w:pPr>
        <w:jc w:val="center"/>
        <w:rPr>
          <w:b/>
        </w:rPr>
      </w:pPr>
      <w:r>
        <w:rPr>
          <w:b/>
        </w:rPr>
        <w:lastRenderedPageBreak/>
        <w:t>A MODEL POLICY FOR RELATIONSHIPS AND SEX EDUCATION</w:t>
      </w:r>
    </w:p>
    <w:p>
      <w:pPr>
        <w:jc w:val="center"/>
        <w:rPr>
          <w:b/>
        </w:rPr>
      </w:pPr>
    </w:p>
    <w:p>
      <w:r>
        <w:t xml:space="preserve">In this policy the Governors and teachers, in partnership with pupils and their parents, set out their intentions about relationships and sex education (RSE). We set out our rationale for, and approach to relationships and sex education in the school. </w:t>
      </w:r>
    </w:p>
    <w:p>
      <w:r>
        <w:rPr>
          <w:b/>
          <w:bCs/>
        </w:rPr>
        <w:t xml:space="preserve">Implementation and Review of Policy </w:t>
      </w:r>
    </w:p>
    <w:p>
      <w:r>
        <w:t xml:space="preserve">Implementation of the policy will take place after consultation with the Governors in November 2022 . </w:t>
      </w:r>
    </w:p>
    <w:p>
      <w:r>
        <w:t>This policy will be reviewed every 2 years by the Headteacher, RSE Co-ordinator, the Governing Body and Staff. The next review date is: September 2024</w:t>
      </w:r>
    </w:p>
    <w:p>
      <w:r>
        <w:rPr>
          <w:b/>
          <w:bCs/>
        </w:rPr>
        <w:t xml:space="preserve">Dissemination </w:t>
      </w:r>
    </w:p>
    <w:p>
      <w:r>
        <w:t xml:space="preserve">The draft policy will be given to all members of the Governing Body, and all teaching and non-teaching members of staff. Copies of the document will be available to all parents through the school’s website and a copy is available in the school office. Details of the content of the RSE curriculum will also be published on the school’s website. </w:t>
      </w:r>
    </w:p>
    <w:p>
      <w:r>
        <w:t xml:space="preserve">DEFINING RELATIONSHIP AND SEX EDUCATION </w:t>
      </w:r>
    </w:p>
    <w:p>
      <w:r>
        <w:t xml:space="preserve">The DfE guidance states that “children and young people need to know how to be safe and healthy, and how to manage their academic, personal and social lives in a positive way” </w:t>
      </w:r>
    </w:p>
    <w:p>
      <w:pPr>
        <w:pStyle w:val="ListParagraph"/>
        <w:numPr>
          <w:ilvl w:val="0"/>
          <w:numId w:val="8"/>
        </w:numPr>
      </w:pPr>
      <w:r>
        <w:t>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w:t>
      </w:r>
    </w:p>
    <w:p>
      <w:pPr>
        <w:pStyle w:val="ListParagraph"/>
        <w:numPr>
          <w:ilvl w:val="0"/>
          <w:numId w:val="8"/>
        </w:numPr>
      </w:pPr>
      <w:r>
        <w:t>This would include the topics of families and the people of who care for me, caring 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w:t>
      </w:r>
    </w:p>
    <w:p>
      <w:r>
        <w:t xml:space="preserve">STATUTORY CURRICULUM REQUIREMENTS </w:t>
      </w:r>
    </w:p>
    <w:p>
      <w:r>
        <w:t xml:space="preserve">We are legally required to teach those aspects of RSE which are statutory parts of National Curriculum Science. (There is also a separate requirement for maintained secondary schools to teach about HIV, AIDS and sexually transmitted infections. This does not apply to academies). </w:t>
      </w:r>
    </w:p>
    <w:p>
      <w:r>
        <w:t xml:space="preserve">However, the reasons for our inclusion of RSE go further. </w:t>
      </w:r>
    </w:p>
    <w:p>
      <w:r>
        <w:t xml:space="preserve">RATIONALE </w:t>
      </w:r>
    </w:p>
    <w:p>
      <w:r>
        <w:t xml:space="preserve">‘I HAVE COME THAT YOU MIGHT HAVE LIFE AND HAVE IT TO THE FULL’ (Jn.10.10) </w:t>
      </w:r>
    </w:p>
    <w:p>
      <w: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w:t>
      </w:r>
      <w:r>
        <w:lastRenderedPageBreak/>
        <w:t xml:space="preserve">RSE, therefore, will be placed firmly within the context of relationship as it is there that sexuality grows and develops. </w:t>
      </w:r>
    </w:p>
    <w:p>
      <w:r>
        <w:t xml:space="preserve">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r>
        <w:t xml:space="preserve">VALUES AND VIRTUES </w:t>
      </w:r>
    </w:p>
    <w:p>
      <w: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r>
        <w:t xml:space="preserve">AIM OF RSE AND THE MISSION STATEMENT </w:t>
      </w:r>
    </w:p>
    <w:p>
      <w:r>
        <w:t xml:space="preserve">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w:t>
      </w:r>
    </w:p>
    <w:p>
      <w:r>
        <w:t xml:space="preserve">In partnership with parents, to provide children and young people with a “positive and prudent sexual education” which is compatible with their physical, cognitive, psychological, and spiritual maturity, and rooted in a Catholic vision of education and the human person. </w:t>
      </w:r>
    </w:p>
    <w:p>
      <w:r>
        <w:rPr>
          <w:b/>
          <w:bCs/>
        </w:rPr>
        <w:t xml:space="preserve">Objectives </w:t>
      </w:r>
    </w:p>
    <w:p>
      <w:r>
        <w:t xml:space="preserve">To develop the following </w:t>
      </w:r>
      <w:r>
        <w:rPr>
          <w:b/>
          <w:bCs/>
        </w:rPr>
        <w:t>attitudes and virtues</w:t>
      </w:r>
      <w:r>
        <w:t xml:space="preserve">: </w:t>
      </w:r>
    </w:p>
    <w:p>
      <w:r>
        <w:t xml:space="preserve">• reverence for the gift of human sexuality and fertility; </w:t>
      </w:r>
    </w:p>
    <w:p>
      <w:r>
        <w:t xml:space="preserve">• respect for the dignity of every human being – in their own person and in the person of others; </w:t>
      </w:r>
    </w:p>
    <w:p>
      <w:r>
        <w:t xml:space="preserve">• joy in the goodness of the created world and their own bodily natures; </w:t>
      </w:r>
    </w:p>
    <w:p>
      <w:r>
        <w:t xml:space="preserve">• responsibility for their own actions and a recognition of the impact of these on others; </w:t>
      </w:r>
    </w:p>
    <w:p>
      <w:r>
        <w:t xml:space="preserve">• recognising and valuing their own sexual identity and that of others; </w:t>
      </w:r>
    </w:p>
    <w:p>
      <w:r>
        <w:t xml:space="preserve">• celebrating the gift of life-long, self-giving love; </w:t>
      </w:r>
    </w:p>
    <w:p>
      <w:r>
        <w:t xml:space="preserve">• recognising the importance of marriage and family life; </w:t>
      </w:r>
    </w:p>
    <w:p>
      <w:r>
        <w:t xml:space="preserve">• fidelity in relationships. </w:t>
      </w:r>
    </w:p>
    <w:p>
      <w:r>
        <w:t xml:space="preserve">To develop the following </w:t>
      </w:r>
      <w:r>
        <w:rPr>
          <w:b/>
          <w:bCs/>
        </w:rPr>
        <w:t>personal and social skills</w:t>
      </w:r>
      <w:r>
        <w:t xml:space="preserve">: </w:t>
      </w:r>
    </w:p>
    <w:p>
      <w:r>
        <w:t xml:space="preserve">• making sound judgements and good choices which have integrity, and which are respectful of the individual’s commitments; </w:t>
      </w:r>
    </w:p>
    <w:p>
      <w:r>
        <w:t xml:space="preserve">• loving and being loved, and the ability to form friendships and loving, stable relationships free from exploitation, abuse and bullying; </w:t>
      </w:r>
    </w:p>
    <w:p>
      <w:r>
        <w:t xml:space="preserve">• managing emotions within relationships, and when relationships break down, with confidence, sensitivity and dignity; </w:t>
      </w:r>
    </w:p>
    <w:p>
      <w:r>
        <w:t xml:space="preserve">• managing conflict positively, recognising the value of difference; </w:t>
      </w:r>
    </w:p>
    <w:p>
      <w:r>
        <w:lastRenderedPageBreak/>
        <w:t xml:space="preserve">• cultivating humility, mercy and compassion, learning to forgive and be forgiven; </w:t>
      </w:r>
    </w:p>
    <w:p>
      <w:r>
        <w:t xml:space="preserve">• developing self-esteem and confidence, demonstrating self-respect and empathy for others; </w:t>
      </w:r>
    </w:p>
    <w:p>
      <w:r>
        <w:t xml:space="preserve">• building resilience and the ability to resist unwanted pressures, recognising the influence and impact of the media, internet and peer groups and so developing the ability to assess pressures and respond appropriately; </w:t>
      </w:r>
    </w:p>
    <w:p>
      <w:r>
        <w:t xml:space="preserve">• being patient, delaying gratification and learning to recognise the appropriate stages in the development of relationships, and how to love chastely; </w:t>
      </w:r>
    </w:p>
    <w:p>
      <w:r>
        <w:t xml:space="preserve">• assessing risks and managing behaviours in order to minimise the risk to health and personal integrity. </w:t>
      </w:r>
    </w:p>
    <w:p>
      <w:r>
        <w:t xml:space="preserve">To </w:t>
      </w:r>
      <w:r>
        <w:rPr>
          <w:b/>
          <w:bCs/>
        </w:rPr>
        <w:t>know and understand</w:t>
      </w:r>
      <w:r>
        <w:t xml:space="preserve">: </w:t>
      </w:r>
    </w:p>
    <w:p>
      <w:r>
        <w:t xml:space="preserve">• the Church’s teaching on relationships and the nature and meaning of sexual love; </w:t>
      </w:r>
    </w:p>
    <w:p>
      <w:r>
        <w:t xml:space="preserve">• the Church’s teaching on marriage and the importance of marriage and family life; </w:t>
      </w:r>
    </w:p>
    <w:p>
      <w:r>
        <w:t xml:space="preserve">• the centrality and importance of virtue in guiding human living and loving; </w:t>
      </w:r>
    </w:p>
    <w:p>
      <w:r>
        <w:t xml:space="preserve">• the physical and psychological changes that accompany puberty; </w:t>
      </w:r>
    </w:p>
    <w:p>
      <w:r>
        <w:t xml:space="preserve">• the facts about human reproduction, how love is expressed sexually and how sexual love plays an essential and sacred role in procreation; </w:t>
      </w:r>
    </w:p>
    <w:p>
      <w:r>
        <w:t xml:space="preserve">• how to manage fertility in a way which is compatible with their stage of life, their own values and commitments, including an understanding of the difference between natural family planning and artificial contraception; </w:t>
      </w:r>
    </w:p>
    <w:p>
      <w:r>
        <w:t xml:space="preserve">• how to keep themselves safe from sexually transmitted infections and how to avoid unintended pregnancy, including where to go for advice. </w:t>
      </w:r>
    </w:p>
    <w:p>
      <w:r>
        <w:rPr>
          <w:b/>
          <w:bCs/>
        </w:rPr>
        <w:t xml:space="preserve">Outcomes </w:t>
      </w:r>
    </w:p>
    <w:p>
      <w:r>
        <w:t xml:space="preserve">INCLUSION AND DIFFERENTIATED LEARNING </w:t>
      </w:r>
    </w:p>
    <w:p>
      <w: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r>
        <w:t xml:space="preserve">EQUALITIES OBLIGATIONS </w:t>
      </w:r>
    </w:p>
    <w:p>
      <w: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r>
        <w:t xml:space="preserve">BROAD CONTENT OF RSE </w:t>
      </w:r>
    </w:p>
    <w:p>
      <w:r>
        <w:t xml:space="preserve">Three aspects of RSE - attitudes and values, knowledge and understanding, and personal and social skills will be provided in three inter-related ways: the whole school/ethos dimension; a cross-curricular dimension and a specific relationships and sex curriculum. </w:t>
      </w:r>
    </w:p>
    <w:p>
      <w:r>
        <w:t xml:space="preserve">PROGRAMME / RESOURCES </w:t>
      </w:r>
    </w:p>
    <w:p>
      <w:r>
        <w:t xml:space="preserve">Appendices to this policy provide further information about the programme and resources for suggested use. </w:t>
      </w:r>
    </w:p>
    <w:p>
      <w:r>
        <w:t xml:space="preserve">Teaching strategies will include: </w:t>
      </w:r>
    </w:p>
    <w:p>
      <w:r>
        <w:t xml:space="preserve">• establishing ground rules </w:t>
      </w:r>
    </w:p>
    <w:p>
      <w:r>
        <w:t xml:space="preserve">• distancing techniques </w:t>
      </w:r>
    </w:p>
    <w:p>
      <w:r>
        <w:lastRenderedPageBreak/>
        <w:t xml:space="preserve">• discussion </w:t>
      </w:r>
    </w:p>
    <w:p>
      <w:r>
        <w:t xml:space="preserve">• project learning </w:t>
      </w:r>
    </w:p>
    <w:p>
      <w:r>
        <w:t xml:space="preserve">• reflection </w:t>
      </w:r>
    </w:p>
    <w:p>
      <w:r>
        <w:t xml:space="preserve">• experiential </w:t>
      </w:r>
    </w:p>
    <w:p>
      <w:r>
        <w:t xml:space="preserve">• active </w:t>
      </w:r>
    </w:p>
    <w:p>
      <w:r>
        <w:t xml:space="preserve">• brainstorming </w:t>
      </w:r>
    </w:p>
    <w:p>
      <w:r>
        <w:t xml:space="preserve">• film &amp; video </w:t>
      </w:r>
    </w:p>
    <w:p>
      <w:r>
        <w:t xml:space="preserve">• group work </w:t>
      </w:r>
    </w:p>
    <w:p>
      <w:r>
        <w:t xml:space="preserve">• role-play </w:t>
      </w:r>
    </w:p>
    <w:p>
      <w:r>
        <w:t xml:space="preserve">• trigger drawings </w:t>
      </w:r>
    </w:p>
    <w:p>
      <w:r>
        <w:t xml:space="preserve">• values clarification </w:t>
      </w:r>
    </w:p>
    <w:p>
      <w:r>
        <w:t xml:space="preserve">PARENTS AND CARERS </w:t>
      </w:r>
    </w:p>
    <w:p>
      <w: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r>
        <w:rPr>
          <w:shd w:val="clear" w:color="auto" w:fill="FFFFFF" w:themeFill="background1"/>
        </w:rPr>
        <w:t>Parents must be consulted before this policy is ratified by the governors.</w:t>
      </w:r>
      <w:r>
        <w:t xml:space="preserve">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p>
    <w:p>
      <w:r>
        <w:t xml:space="preserve">Parents continue to have </w:t>
      </w:r>
      <w:r>
        <w:rPr>
          <w:b/>
          <w:bCs/>
          <w:i/>
          <w:iCs/>
        </w:rPr>
        <w:t xml:space="preserve">the right to withdraw </w:t>
      </w:r>
      <w:r>
        <w:t xml:space="preserve">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p>
    <w:p>
      <w:r>
        <w:t xml:space="preserve">We believe that the controlled environment of the classroom is the safest place for this curriculum to be followed. </w:t>
      </w:r>
    </w:p>
    <w:p>
      <w:r>
        <w:t xml:space="preserve">Please refer to the DfE guidance Page 17 for further details on the right to be excused from sex education (commonly referred to as the right to withdraw). </w:t>
      </w:r>
    </w:p>
    <w:p>
      <w:r>
        <w:t xml:space="preserve">BALANCED CURRICULUM </w:t>
      </w:r>
    </w:p>
    <w:p>
      <w:r>
        <w:t xml:space="preserve">Whilst promoting Catholic values and virtues and teaching in accordance with Church teaching, we will ensure that pupils are offered a balanced programme by providing an RSE programme that offers a range of viewpoints on issues. </w:t>
      </w:r>
    </w:p>
    <w:p>
      <w:r>
        <w:t xml:space="preserve">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p/>
    <w:p>
      <w:r>
        <w:lastRenderedPageBreak/>
        <w:t xml:space="preserve">RESPONSIBILITY FOR TEACHING THE PROGRAMME </w:t>
      </w:r>
    </w:p>
    <w:p>
      <w:r>
        <w:t xml:space="preserve">Responsibility for the specific relationships and sex education programme lays with the relevant curriculum staff; this will normally include science, religious education, physical education, RSE and PSHE. </w:t>
      </w:r>
    </w:p>
    <w:p>
      <w: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p>
    <w:p>
      <w:r>
        <w:rPr>
          <w:b/>
          <w:bCs/>
        </w:rPr>
        <w:t xml:space="preserve">External Visitors </w:t>
      </w:r>
    </w:p>
    <w:p>
      <w:r>
        <w:t xml:space="preserve">Our school will often call upon help and guidance from outside agencies and health specialists to deliver aspects of RSE. Such visits will always complement the current programme and never substitute or replace teacher led sessions. </w:t>
      </w:r>
    </w:p>
    <w:p>
      <w:r>
        <w:t xml:space="preserve">It is important that any external visitor is clear about their role and responsibility whilst they are in school delivering a session. Any visitor must adhere to our code of practice developed in line with CES guidance ‘Checklist for External Speakers to Schools’. </w:t>
      </w:r>
    </w:p>
    <w:p>
      <w: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
        <w:t xml:space="preserve">OTHER ROLES AND RESPONSIBILITIES REGARDING RSE </w:t>
      </w:r>
    </w:p>
    <w:p>
      <w:r>
        <w:rPr>
          <w:b/>
          <w:bCs/>
        </w:rPr>
        <w:t xml:space="preserve">Governors </w:t>
      </w:r>
    </w:p>
    <w:p>
      <w:r>
        <w:t xml:space="preserve">• draw up the RSE policy, in consultation with parents and teachers; </w:t>
      </w:r>
    </w:p>
    <w:p>
      <w:r>
        <w:t xml:space="preserve">• ensure that the policy is available to parents; </w:t>
      </w:r>
    </w:p>
    <w:p>
      <w:r>
        <w:t xml:space="preserve">• ensure that the policy is in accordance with other whole school policies, e.g., SEN, the ethos of the school and our Christian beliefs; </w:t>
      </w:r>
    </w:p>
    <w:p>
      <w:r>
        <w:t xml:space="preserve">• ensure that parents know of their right to withdraw their children; </w:t>
      </w:r>
    </w:p>
    <w:p>
      <w:r>
        <w:t xml:space="preserve">• establish a link governor to share in the monitoring and evaluation of the programme, including resources used; </w:t>
      </w:r>
    </w:p>
    <w:p>
      <w:r>
        <w:t xml:space="preserve">• ensure that the policy provides proper and adequate coverage of relevant National Curriculum science topics and the setting of RSE within PSHE. </w:t>
      </w:r>
    </w:p>
    <w:p>
      <w:r>
        <w:rPr>
          <w:b/>
          <w:bCs/>
        </w:rPr>
        <w:t xml:space="preserve">Headteacher </w:t>
      </w:r>
    </w:p>
    <w:p>
      <w:r>
        <w:t xml:space="preserve">The Headteacher takes overall delegated responsibility for the implementation of this policy and for liaison with the Governing Body, parents, the Diocesan Schools’ Service and the Local Education Authority, also appropriate agencies. </w:t>
      </w:r>
    </w:p>
    <w:p>
      <w:r>
        <w:rPr>
          <w:b/>
          <w:bCs/>
        </w:rPr>
        <w:t xml:space="preserve">PSHE/RSE Co-Ordinator </w:t>
      </w:r>
    </w:p>
    <w:p>
      <w:r>
        <w:t xml:space="preserve">The co-ordinator with the headteacher has a general responsibility for supporting other members of staff in the implementation of this policy and will provide a lead in the dissemination of the information relating to RSE and the provision of in-service training. </w:t>
      </w:r>
      <w:r>
        <w:rPr>
          <w:i/>
          <w:iCs/>
        </w:rPr>
        <w:t xml:space="preserve">(They may be supported by the curriculum deputy and the member of staff with responsibility for child protection). </w:t>
      </w:r>
    </w:p>
    <w:p>
      <w:r>
        <w:rPr>
          <w:b/>
          <w:bCs/>
        </w:rPr>
        <w:t xml:space="preserve">All Staff </w:t>
      </w:r>
    </w:p>
    <w:p>
      <w: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p>
      <w:r>
        <w:lastRenderedPageBreak/>
        <w:t xml:space="preserve">RELATIONSHIP TO OTHER POLICIES AND CURRICULUM SUBJECTS </w:t>
      </w:r>
    </w:p>
    <w:p>
      <w:r>
        <w:t xml:space="preserve">This RSE policy is to be delivered as part of the PSHE framework. It includes guidelines about pupil safety and is compatible with the school's other policy documents (for example, Anti-bullying policy, Safeguarding Policy etc) </w:t>
      </w:r>
    </w:p>
    <w:p>
      <w: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
        <w:t xml:space="preserve">Learning about RSE in PSHE classes will link to/complement learning in those areas identified in the RSE audit. </w:t>
      </w:r>
    </w:p>
    <w:p>
      <w:r>
        <w:t xml:space="preserve">CHILDREN’S QUESTIONS </w:t>
      </w:r>
    </w:p>
    <w:p>
      <w: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r>
        <w:rPr>
          <w:b/>
          <w:bCs/>
        </w:rPr>
        <w:t xml:space="preserve">Controversial or Sensitive issues </w:t>
      </w:r>
    </w:p>
    <w:p>
      <w: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r>
        <w:t xml:space="preserve">Some questions may raise issues which it would not be appropriate for teachers to answer during ordinary class time, e.g., where a child or young person’s questions hints at abuse, is deliberately tendentious or is of a personal nature. </w:t>
      </w:r>
    </w:p>
    <w:p>
      <w:r>
        <w:t xml:space="preserve">SUPPORTING CHILDREN AND YOUNG PEOPLE WHO ARE AT RISK </w:t>
      </w:r>
    </w:p>
    <w:p>
      <w: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p>
    <w:p>
      <w:r>
        <w:t xml:space="preserve">CONFIDENTIALITY AND ADVICE </w:t>
      </w:r>
    </w:p>
    <w:p>
      <w:r>
        <w:t xml:space="preserve">All governors, all teachers, all support staff, all parents and all pupils must be made aware of this policy, particularly as it relates to issues of advice and confidentiality. </w:t>
      </w:r>
    </w:p>
    <w:p>
      <w: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 </w:t>
      </w:r>
    </w:p>
    <w:p>
      <w:r>
        <w:t xml:space="preserve">MONITORING AND EVALUATION </w:t>
      </w:r>
    </w:p>
    <w:p>
      <w:r>
        <w:t xml:space="preserve">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w:t>
      </w:r>
      <w:r>
        <w:lastRenderedPageBreak/>
        <w:t>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160696"/>
    <w:multiLevelType w:val="hybridMultilevel"/>
    <w:tmpl w:val="D33BA9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675015"/>
    <w:multiLevelType w:val="hybridMultilevel"/>
    <w:tmpl w:val="3E913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ECE569"/>
    <w:multiLevelType w:val="hybridMultilevel"/>
    <w:tmpl w:val="03218F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D652E"/>
    <w:multiLevelType w:val="hybridMultilevel"/>
    <w:tmpl w:val="47E394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4B525C5"/>
    <w:multiLevelType w:val="hybridMultilevel"/>
    <w:tmpl w:val="FFB67B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51E0E3"/>
    <w:multiLevelType w:val="hybridMultilevel"/>
    <w:tmpl w:val="CAEC5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AE5E37"/>
    <w:multiLevelType w:val="hybridMultilevel"/>
    <w:tmpl w:val="3A043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FFAA3"/>
    <w:multiLevelType w:val="hybridMultilevel"/>
    <w:tmpl w:val="9E0D29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6C6B-4FBB-4CAA-8C84-F0ACB68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3035</Words>
  <Characters>17302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Gormanem</dc:creator>
  <cp:keywords/>
  <dc:description/>
  <cp:lastModifiedBy>Rothwellka</cp:lastModifiedBy>
  <cp:revision>2</cp:revision>
  <dcterms:created xsi:type="dcterms:W3CDTF">2022-10-17T07:31:00Z</dcterms:created>
  <dcterms:modified xsi:type="dcterms:W3CDTF">2022-10-17T07:31:00Z</dcterms:modified>
</cp:coreProperties>
</file>