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E9C" w:rsidRDefault="00971BCD">
      <w:pPr>
        <w:spacing w:after="4"/>
        <w:ind w:left="7275" w:right="0"/>
        <w:jc w:val="left"/>
      </w:pPr>
      <w:r>
        <w:rPr>
          <w:noProof/>
        </w:rPr>
        <w:drawing>
          <wp:inline distT="0" distB="0" distL="0" distR="0">
            <wp:extent cx="1116965" cy="107124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116965" cy="1071245"/>
                    </a:xfrm>
                    <a:prstGeom prst="rect">
                      <a:avLst/>
                    </a:prstGeom>
                  </pic:spPr>
                </pic:pic>
              </a:graphicData>
            </a:graphic>
          </wp:inline>
        </w:drawing>
      </w:r>
    </w:p>
    <w:p w:rsidR="001B2E9C" w:rsidRDefault="00971BCD">
      <w:pPr>
        <w:ind w:right="0"/>
        <w:jc w:val="left"/>
      </w:pPr>
      <w:r>
        <w:rPr>
          <w:sz w:val="22"/>
          <w:u w:val="none" w:color="000000"/>
        </w:rPr>
        <w:t xml:space="preserve"> </w:t>
      </w:r>
    </w:p>
    <w:p w:rsidR="001B2E9C" w:rsidRDefault="00971BCD">
      <w:r>
        <w:t>How St Antony’s is meeting the Gatsby Benchmarks</w:t>
      </w:r>
      <w:r>
        <w:rPr>
          <w:u w:val="none" w:color="000000"/>
        </w:rPr>
        <w:t xml:space="preserve"> </w:t>
      </w:r>
    </w:p>
    <w:tbl>
      <w:tblPr>
        <w:tblStyle w:val="TableGrid"/>
        <w:tblW w:w="15391" w:type="dxa"/>
        <w:tblInd w:w="5" w:type="dxa"/>
        <w:tblCellMar>
          <w:top w:w="44" w:type="dxa"/>
          <w:left w:w="0" w:type="dxa"/>
          <w:bottom w:w="0" w:type="dxa"/>
          <w:right w:w="68" w:type="dxa"/>
        </w:tblCellMar>
        <w:tblLook w:val="04A0" w:firstRow="1" w:lastRow="0" w:firstColumn="1" w:lastColumn="0" w:noHBand="0" w:noVBand="1"/>
      </w:tblPr>
      <w:tblGrid>
        <w:gridCol w:w="3648"/>
        <w:gridCol w:w="11743"/>
      </w:tblGrid>
      <w:tr w:rsidR="001B2E9C">
        <w:trPr>
          <w:trHeight w:val="274"/>
        </w:trPr>
        <w:tc>
          <w:tcPr>
            <w:tcW w:w="3648" w:type="dxa"/>
            <w:tcBorders>
              <w:top w:val="nil"/>
              <w:left w:val="nil"/>
              <w:bottom w:val="single" w:sz="6" w:space="0" w:color="DDDDDD"/>
              <w:right w:val="nil"/>
            </w:tcBorders>
            <w:shd w:val="clear" w:color="auto" w:fill="00A7B8"/>
          </w:tcPr>
          <w:p w:rsidR="001B2E9C" w:rsidRDefault="00971BCD">
            <w:pPr>
              <w:ind w:left="108" w:right="0"/>
              <w:jc w:val="left"/>
            </w:pPr>
            <w:r>
              <w:rPr>
                <w:b/>
                <w:color w:val="FFFFFF"/>
                <w:sz w:val="22"/>
                <w:u w:val="none" w:color="000000"/>
              </w:rPr>
              <w:t>Benchmark</w:t>
            </w:r>
            <w:r>
              <w:rPr>
                <w:rFonts w:ascii="Arial" w:eastAsia="Arial" w:hAnsi="Arial" w:cs="Arial"/>
                <w:color w:val="000000"/>
                <w:sz w:val="22"/>
                <w:u w:val="none" w:color="000000"/>
              </w:rPr>
              <w:t xml:space="preserve"> </w:t>
            </w:r>
          </w:p>
        </w:tc>
        <w:tc>
          <w:tcPr>
            <w:tcW w:w="11743" w:type="dxa"/>
            <w:tcBorders>
              <w:top w:val="nil"/>
              <w:left w:val="nil"/>
              <w:bottom w:val="single" w:sz="6" w:space="0" w:color="DDDDDD"/>
              <w:right w:val="nil"/>
            </w:tcBorders>
            <w:shd w:val="clear" w:color="auto" w:fill="00A7B8"/>
          </w:tcPr>
          <w:p w:rsidR="001B2E9C" w:rsidRDefault="00971BCD">
            <w:pPr>
              <w:ind w:right="0"/>
              <w:jc w:val="left"/>
            </w:pPr>
            <w:r>
              <w:rPr>
                <w:b/>
                <w:color w:val="FFFFFF"/>
                <w:sz w:val="22"/>
                <w:u w:val="none" w:color="000000"/>
              </w:rPr>
              <w:t>Description</w:t>
            </w:r>
            <w:r>
              <w:rPr>
                <w:rFonts w:ascii="Arial" w:eastAsia="Arial" w:hAnsi="Arial" w:cs="Arial"/>
                <w:sz w:val="22"/>
                <w:u w:val="none" w:color="000000"/>
              </w:rPr>
              <w:t xml:space="preserve"> </w:t>
            </w:r>
          </w:p>
        </w:tc>
      </w:tr>
      <w:tr w:rsidR="001B2E9C">
        <w:trPr>
          <w:trHeight w:val="826"/>
        </w:trPr>
        <w:tc>
          <w:tcPr>
            <w:tcW w:w="3648" w:type="dxa"/>
            <w:tcBorders>
              <w:top w:val="single" w:sz="6" w:space="0" w:color="DDDDDD"/>
              <w:left w:val="nil"/>
              <w:bottom w:val="single" w:sz="6" w:space="0" w:color="DDDDDD"/>
              <w:right w:val="nil"/>
            </w:tcBorders>
          </w:tcPr>
          <w:p w:rsidR="001B2E9C" w:rsidRDefault="00971BCD">
            <w:pPr>
              <w:ind w:left="108" w:right="0"/>
              <w:jc w:val="left"/>
            </w:pPr>
            <w:r>
              <w:rPr>
                <w:color w:val="000000"/>
                <w:sz w:val="22"/>
                <w:u w:val="none" w:color="000000"/>
              </w:rPr>
              <w:t>1. A stable careers programme</w:t>
            </w:r>
            <w:r>
              <w:rPr>
                <w:rFonts w:ascii="Arial" w:eastAsia="Arial" w:hAnsi="Arial" w:cs="Arial"/>
                <w:sz w:val="22"/>
                <w:u w:val="none" w:color="000000"/>
              </w:rPr>
              <w:t xml:space="preserve"> </w:t>
            </w:r>
          </w:p>
        </w:tc>
        <w:tc>
          <w:tcPr>
            <w:tcW w:w="11743" w:type="dxa"/>
            <w:tcBorders>
              <w:top w:val="single" w:sz="6" w:space="0" w:color="DDDDDD"/>
              <w:left w:val="nil"/>
              <w:bottom w:val="single" w:sz="6" w:space="0" w:color="DDDDDD"/>
              <w:right w:val="nil"/>
            </w:tcBorders>
          </w:tcPr>
          <w:p w:rsidR="001B2E9C" w:rsidRDefault="00971BCD">
            <w:pPr>
              <w:ind w:right="0"/>
              <w:jc w:val="left"/>
            </w:pPr>
            <w:r>
              <w:rPr>
                <w:color w:val="000000"/>
                <w:sz w:val="22"/>
                <w:u w:val="none" w:color="000000"/>
              </w:rPr>
              <w:t>St Antony’s staff follow a published scheme of learning to support their delivery of careers education during twice half-</w:t>
            </w:r>
            <w:r>
              <w:rPr>
                <w:color w:val="000000"/>
                <w:sz w:val="22"/>
                <w:u w:val="none" w:color="000000"/>
              </w:rPr>
              <w:t>termly careers sessions. This is supplemented by a range of additional internally and externally provided careers activities detailed within our “Careers in the Curriculum” Programme found here. This is openly available to pupils, parents and employers.</w:t>
            </w:r>
            <w:r>
              <w:rPr>
                <w:rFonts w:ascii="Arial" w:eastAsia="Arial" w:hAnsi="Arial" w:cs="Arial"/>
                <w:sz w:val="22"/>
                <w:u w:val="none" w:color="000000"/>
              </w:rPr>
              <w:t xml:space="preserve"> </w:t>
            </w:r>
          </w:p>
        </w:tc>
      </w:tr>
      <w:tr w:rsidR="001B2E9C">
        <w:trPr>
          <w:trHeight w:val="1085"/>
        </w:trPr>
        <w:tc>
          <w:tcPr>
            <w:tcW w:w="3648" w:type="dxa"/>
            <w:tcBorders>
              <w:top w:val="single" w:sz="6" w:space="0" w:color="DDDDDD"/>
              <w:left w:val="nil"/>
              <w:bottom w:val="single" w:sz="6" w:space="0" w:color="DDDDDD"/>
              <w:right w:val="nil"/>
            </w:tcBorders>
            <w:shd w:val="clear" w:color="auto" w:fill="EFEFEF"/>
          </w:tcPr>
          <w:p w:rsidR="001B2E9C" w:rsidRDefault="00971BCD">
            <w:pPr>
              <w:ind w:left="108" w:right="0"/>
              <w:jc w:val="left"/>
            </w:pPr>
            <w:r>
              <w:rPr>
                <w:color w:val="000000"/>
                <w:sz w:val="22"/>
                <w:u w:val="none" w:color="000000"/>
              </w:rPr>
              <w:t>2. Learning from career and labour market information</w:t>
            </w:r>
            <w:r>
              <w:rPr>
                <w:rFonts w:ascii="Arial" w:eastAsia="Arial" w:hAnsi="Arial" w:cs="Arial"/>
                <w:sz w:val="22"/>
                <w:u w:val="none" w:color="000000"/>
              </w:rPr>
              <w:t xml:space="preserve"> </w:t>
            </w:r>
          </w:p>
        </w:tc>
        <w:tc>
          <w:tcPr>
            <w:tcW w:w="11743" w:type="dxa"/>
            <w:tcBorders>
              <w:top w:val="single" w:sz="6" w:space="0" w:color="DDDDDD"/>
              <w:left w:val="nil"/>
              <w:bottom w:val="single" w:sz="6" w:space="0" w:color="DDDDDD"/>
              <w:right w:val="nil"/>
            </w:tcBorders>
            <w:shd w:val="clear" w:color="auto" w:fill="EFEFEF"/>
          </w:tcPr>
          <w:p w:rsidR="001B2E9C" w:rsidRDefault="00971BCD">
            <w:pPr>
              <w:ind w:right="41"/>
              <w:jc w:val="left"/>
            </w:pPr>
            <w:r>
              <w:rPr>
                <w:color w:val="000000"/>
                <w:sz w:val="22"/>
                <w:u w:val="none" w:color="000000"/>
              </w:rPr>
              <w:t>St Antony’s students receive the Further and Higher Education acquaint sessions detailed within our “Careers in the Curriculum” Programme found here and have access to a regularly updated “Post-16 Path</w:t>
            </w:r>
            <w:r>
              <w:rPr>
                <w:color w:val="000000"/>
                <w:sz w:val="22"/>
                <w:u w:val="none" w:color="000000"/>
              </w:rPr>
              <w:t xml:space="preserve">ways” section of the school website found here. This is supported by frequent use of the </w:t>
            </w:r>
            <w:proofErr w:type="spellStart"/>
            <w:r>
              <w:rPr>
                <w:color w:val="000000"/>
                <w:sz w:val="22"/>
                <w:u w:val="none" w:color="000000"/>
              </w:rPr>
              <w:t>Xello</w:t>
            </w:r>
            <w:proofErr w:type="spellEnd"/>
            <w:r>
              <w:rPr>
                <w:color w:val="000000"/>
                <w:sz w:val="22"/>
                <w:u w:val="none" w:color="000000"/>
              </w:rPr>
              <w:t xml:space="preserve"> careers guidance platform which offers bespoke suggestions and guidance based on user input.</w:t>
            </w:r>
            <w:r>
              <w:rPr>
                <w:rFonts w:ascii="Arial" w:eastAsia="Arial" w:hAnsi="Arial" w:cs="Arial"/>
                <w:sz w:val="22"/>
                <w:u w:val="none" w:color="000000"/>
              </w:rPr>
              <w:t xml:space="preserve"> </w:t>
            </w:r>
          </w:p>
        </w:tc>
      </w:tr>
      <w:tr w:rsidR="001B2E9C">
        <w:trPr>
          <w:trHeight w:val="824"/>
        </w:trPr>
        <w:tc>
          <w:tcPr>
            <w:tcW w:w="3648" w:type="dxa"/>
            <w:tcBorders>
              <w:top w:val="single" w:sz="6" w:space="0" w:color="DDDDDD"/>
              <w:left w:val="nil"/>
              <w:bottom w:val="single" w:sz="6" w:space="0" w:color="DDDDDD"/>
              <w:right w:val="nil"/>
            </w:tcBorders>
          </w:tcPr>
          <w:p w:rsidR="001B2E9C" w:rsidRDefault="00971BCD">
            <w:pPr>
              <w:ind w:left="108" w:right="133"/>
              <w:jc w:val="left"/>
            </w:pPr>
            <w:r>
              <w:rPr>
                <w:color w:val="000000"/>
                <w:sz w:val="22"/>
                <w:u w:val="none" w:color="000000"/>
              </w:rPr>
              <w:t>3. Addressing the needs of each pupil</w:t>
            </w:r>
            <w:r>
              <w:rPr>
                <w:rFonts w:ascii="Arial" w:eastAsia="Arial" w:hAnsi="Arial" w:cs="Arial"/>
                <w:sz w:val="22"/>
                <w:u w:val="none" w:color="000000"/>
              </w:rPr>
              <w:t xml:space="preserve"> </w:t>
            </w:r>
          </w:p>
        </w:tc>
        <w:tc>
          <w:tcPr>
            <w:tcW w:w="11743" w:type="dxa"/>
            <w:tcBorders>
              <w:top w:val="single" w:sz="6" w:space="0" w:color="DDDDDD"/>
              <w:left w:val="nil"/>
              <w:bottom w:val="single" w:sz="6" w:space="0" w:color="DDDDDD"/>
              <w:right w:val="nil"/>
            </w:tcBorders>
          </w:tcPr>
          <w:p w:rsidR="001B2E9C" w:rsidRDefault="00971BCD">
            <w:pPr>
              <w:ind w:right="0"/>
              <w:jc w:val="left"/>
            </w:pPr>
            <w:r>
              <w:rPr>
                <w:color w:val="000000"/>
                <w:sz w:val="22"/>
                <w:u w:val="none" w:color="000000"/>
              </w:rPr>
              <w:t>From Year 9 to year 11 students receive an annual guidance session with our independent Careers Adviser and follow up sessions can be arranged by request. Labour Market Information informs much of the conversation had by the Careers Adviser and this inform</w:t>
            </w:r>
            <w:r>
              <w:rPr>
                <w:color w:val="000000"/>
                <w:sz w:val="22"/>
                <w:u w:val="none" w:color="000000"/>
              </w:rPr>
              <w:t>ation is shared here for easy access by students and parents.</w:t>
            </w:r>
            <w:r>
              <w:rPr>
                <w:rFonts w:ascii="Arial" w:eastAsia="Arial" w:hAnsi="Arial" w:cs="Arial"/>
                <w:sz w:val="22"/>
                <w:u w:val="none" w:color="000000"/>
              </w:rPr>
              <w:t xml:space="preserve"> </w:t>
            </w:r>
          </w:p>
        </w:tc>
      </w:tr>
      <w:tr w:rsidR="001B2E9C">
        <w:trPr>
          <w:trHeight w:val="549"/>
        </w:trPr>
        <w:tc>
          <w:tcPr>
            <w:tcW w:w="3648" w:type="dxa"/>
            <w:tcBorders>
              <w:top w:val="single" w:sz="6" w:space="0" w:color="DDDDDD"/>
              <w:left w:val="nil"/>
              <w:bottom w:val="single" w:sz="6" w:space="0" w:color="DDDDDD"/>
              <w:right w:val="nil"/>
            </w:tcBorders>
            <w:shd w:val="clear" w:color="auto" w:fill="EFEFEF"/>
          </w:tcPr>
          <w:p w:rsidR="001B2E9C" w:rsidRDefault="00971BCD">
            <w:pPr>
              <w:ind w:left="108" w:right="0"/>
              <w:jc w:val="left"/>
            </w:pPr>
            <w:r>
              <w:rPr>
                <w:color w:val="000000"/>
                <w:sz w:val="22"/>
                <w:u w:val="none" w:color="000000"/>
              </w:rPr>
              <w:t>4. Linking curriculum learning to careers</w:t>
            </w:r>
            <w:r>
              <w:rPr>
                <w:rFonts w:ascii="Arial" w:eastAsia="Arial" w:hAnsi="Arial" w:cs="Arial"/>
                <w:sz w:val="22"/>
                <w:u w:val="none" w:color="000000"/>
              </w:rPr>
              <w:t xml:space="preserve"> </w:t>
            </w:r>
          </w:p>
        </w:tc>
        <w:tc>
          <w:tcPr>
            <w:tcW w:w="11743" w:type="dxa"/>
            <w:tcBorders>
              <w:top w:val="single" w:sz="6" w:space="0" w:color="DDDDDD"/>
              <w:left w:val="nil"/>
              <w:bottom w:val="single" w:sz="6" w:space="0" w:color="DDDDDD"/>
              <w:right w:val="nil"/>
            </w:tcBorders>
            <w:shd w:val="clear" w:color="auto" w:fill="EFEFEF"/>
          </w:tcPr>
          <w:p w:rsidR="001B2E9C" w:rsidRDefault="00971BCD">
            <w:pPr>
              <w:ind w:right="11"/>
              <w:jc w:val="left"/>
            </w:pPr>
            <w:r>
              <w:rPr>
                <w:color w:val="000000"/>
                <w:sz w:val="22"/>
                <w:u w:val="none" w:color="000000"/>
              </w:rPr>
              <w:t xml:space="preserve">Each student will receive </w:t>
            </w:r>
            <w:r w:rsidR="0084595F">
              <w:rPr>
                <w:color w:val="000000"/>
                <w:sz w:val="22"/>
                <w:u w:val="none" w:color="000000"/>
              </w:rPr>
              <w:t>regular</w:t>
            </w:r>
            <w:r>
              <w:rPr>
                <w:color w:val="000000"/>
                <w:sz w:val="22"/>
                <w:u w:val="none" w:color="000000"/>
              </w:rPr>
              <w:t xml:space="preserve"> careers </w:t>
            </w:r>
            <w:r w:rsidR="0084595F">
              <w:rPr>
                <w:color w:val="000000"/>
                <w:sz w:val="22"/>
                <w:u w:val="none" w:color="000000"/>
              </w:rPr>
              <w:t>information</w:t>
            </w:r>
            <w:r>
              <w:rPr>
                <w:color w:val="000000"/>
                <w:sz w:val="22"/>
                <w:u w:val="none" w:color="000000"/>
              </w:rPr>
              <w:t xml:space="preserve"> in </w:t>
            </w:r>
            <w:r w:rsidR="0084595F">
              <w:rPr>
                <w:color w:val="000000"/>
                <w:sz w:val="22"/>
                <w:u w:val="none" w:color="000000"/>
              </w:rPr>
              <w:t>all</w:t>
            </w:r>
            <w:r>
              <w:rPr>
                <w:color w:val="000000"/>
                <w:sz w:val="22"/>
                <w:u w:val="none" w:color="000000"/>
              </w:rPr>
              <w:t xml:space="preserve"> subjects.</w:t>
            </w:r>
          </w:p>
        </w:tc>
      </w:tr>
      <w:tr w:rsidR="001B2E9C">
        <w:trPr>
          <w:trHeight w:val="1362"/>
        </w:trPr>
        <w:tc>
          <w:tcPr>
            <w:tcW w:w="3648" w:type="dxa"/>
            <w:tcBorders>
              <w:top w:val="single" w:sz="6" w:space="0" w:color="DDDDDD"/>
              <w:left w:val="nil"/>
              <w:bottom w:val="single" w:sz="6" w:space="0" w:color="DDDDDD"/>
              <w:right w:val="nil"/>
            </w:tcBorders>
          </w:tcPr>
          <w:p w:rsidR="001B2E9C" w:rsidRDefault="00971BCD">
            <w:pPr>
              <w:ind w:left="108" w:right="0"/>
              <w:jc w:val="left"/>
            </w:pPr>
            <w:r>
              <w:rPr>
                <w:color w:val="000000"/>
                <w:sz w:val="22"/>
                <w:u w:val="none" w:color="000000"/>
              </w:rPr>
              <w:t>5. Encounters with employers and employees</w:t>
            </w:r>
            <w:r>
              <w:rPr>
                <w:rFonts w:ascii="Arial" w:eastAsia="Arial" w:hAnsi="Arial" w:cs="Arial"/>
                <w:sz w:val="22"/>
                <w:u w:val="none" w:color="000000"/>
              </w:rPr>
              <w:t xml:space="preserve"> </w:t>
            </w:r>
          </w:p>
        </w:tc>
        <w:tc>
          <w:tcPr>
            <w:tcW w:w="11743" w:type="dxa"/>
            <w:tcBorders>
              <w:top w:val="single" w:sz="6" w:space="0" w:color="DDDDDD"/>
              <w:left w:val="nil"/>
              <w:bottom w:val="single" w:sz="6" w:space="0" w:color="DDDDDD"/>
              <w:right w:val="nil"/>
            </w:tcBorders>
          </w:tcPr>
          <w:p w:rsidR="001B2E9C" w:rsidRDefault="00971BCD">
            <w:pPr>
              <w:spacing w:line="258" w:lineRule="auto"/>
              <w:ind w:right="11"/>
              <w:jc w:val="left"/>
            </w:pPr>
            <w:r>
              <w:rPr>
                <w:color w:val="000000"/>
                <w:sz w:val="22"/>
                <w:u w:val="none" w:color="000000"/>
              </w:rPr>
              <w:t xml:space="preserve">Students will have access to sessions run by our employer and enterprise partners such as </w:t>
            </w:r>
            <w:r>
              <w:rPr>
                <w:color w:val="000000"/>
                <w:sz w:val="22"/>
                <w:u w:val="none" w:color="000000"/>
              </w:rPr>
              <w:t>Trafford Housing Trust.</w:t>
            </w:r>
            <w:r>
              <w:rPr>
                <w:rFonts w:ascii="Arial" w:eastAsia="Arial" w:hAnsi="Arial" w:cs="Arial"/>
                <w:sz w:val="22"/>
                <w:u w:val="none" w:color="000000"/>
              </w:rPr>
              <w:t xml:space="preserve"> </w:t>
            </w:r>
          </w:p>
          <w:p w:rsidR="001B2E9C" w:rsidRDefault="00971BCD">
            <w:pPr>
              <w:ind w:right="0"/>
              <w:jc w:val="left"/>
            </w:pPr>
            <w:r>
              <w:rPr>
                <w:color w:val="000000"/>
                <w:sz w:val="22"/>
                <w:u w:val="none" w:color="000000"/>
              </w:rPr>
              <w:t>All students will take part in a Mock Interview Day where each is interviewed by an employer who then provides developmental feedback to students.</w:t>
            </w:r>
            <w:r>
              <w:rPr>
                <w:rFonts w:ascii="Arial" w:eastAsia="Arial" w:hAnsi="Arial" w:cs="Arial"/>
                <w:sz w:val="22"/>
                <w:u w:val="none" w:color="000000"/>
              </w:rPr>
              <w:t xml:space="preserve"> </w:t>
            </w:r>
          </w:p>
        </w:tc>
      </w:tr>
      <w:tr w:rsidR="001B2E9C">
        <w:trPr>
          <w:trHeight w:val="280"/>
        </w:trPr>
        <w:tc>
          <w:tcPr>
            <w:tcW w:w="3648" w:type="dxa"/>
            <w:tcBorders>
              <w:top w:val="single" w:sz="6" w:space="0" w:color="DDDDDD"/>
              <w:left w:val="nil"/>
              <w:bottom w:val="single" w:sz="6" w:space="0" w:color="DDDDDD"/>
              <w:right w:val="nil"/>
            </w:tcBorders>
            <w:shd w:val="clear" w:color="auto" w:fill="EFEFEF"/>
          </w:tcPr>
          <w:p w:rsidR="001B2E9C" w:rsidRDefault="00971BCD">
            <w:pPr>
              <w:ind w:left="108" w:right="0"/>
              <w:jc w:val="left"/>
            </w:pPr>
            <w:r>
              <w:rPr>
                <w:color w:val="000000"/>
                <w:sz w:val="22"/>
                <w:u w:val="none" w:color="000000"/>
              </w:rPr>
              <w:t>6</w:t>
            </w:r>
            <w:r>
              <w:rPr>
                <w:color w:val="FF0000"/>
                <w:sz w:val="22"/>
                <w:u w:val="none" w:color="000000"/>
              </w:rPr>
              <w:t xml:space="preserve">. </w:t>
            </w:r>
            <w:r>
              <w:rPr>
                <w:color w:val="000000"/>
                <w:sz w:val="22"/>
                <w:u w:val="none" w:color="000000"/>
              </w:rPr>
              <w:t>Experiences of workplaces</w:t>
            </w:r>
            <w:r>
              <w:rPr>
                <w:rFonts w:ascii="Arial" w:eastAsia="Arial" w:hAnsi="Arial" w:cs="Arial"/>
                <w:sz w:val="22"/>
                <w:u w:val="none" w:color="000000"/>
              </w:rPr>
              <w:t xml:space="preserve"> </w:t>
            </w:r>
          </w:p>
        </w:tc>
        <w:tc>
          <w:tcPr>
            <w:tcW w:w="11743" w:type="dxa"/>
            <w:tcBorders>
              <w:top w:val="single" w:sz="6" w:space="0" w:color="DDDDDD"/>
              <w:left w:val="nil"/>
              <w:bottom w:val="single" w:sz="6" w:space="0" w:color="DDDDDD"/>
              <w:right w:val="nil"/>
            </w:tcBorders>
            <w:shd w:val="clear" w:color="auto" w:fill="EFEFEF"/>
          </w:tcPr>
          <w:p w:rsidR="001B2E9C" w:rsidRDefault="00971BCD">
            <w:pPr>
              <w:ind w:right="0"/>
              <w:jc w:val="left"/>
            </w:pPr>
            <w:r>
              <w:rPr>
                <w:color w:val="000000"/>
                <w:sz w:val="22"/>
                <w:u w:val="none" w:color="000000"/>
              </w:rPr>
              <w:t>Students will have access to workplace visits run by our employer and enterprise partners such as Trafford Housing Trust.</w:t>
            </w:r>
            <w:r>
              <w:rPr>
                <w:rFonts w:ascii="Arial" w:eastAsia="Arial" w:hAnsi="Arial" w:cs="Arial"/>
                <w:sz w:val="22"/>
                <w:u w:val="none" w:color="000000"/>
              </w:rPr>
              <w:t xml:space="preserve"> </w:t>
            </w:r>
          </w:p>
        </w:tc>
      </w:tr>
      <w:tr w:rsidR="001B2E9C">
        <w:trPr>
          <w:trHeight w:val="1363"/>
        </w:trPr>
        <w:tc>
          <w:tcPr>
            <w:tcW w:w="3648" w:type="dxa"/>
            <w:tcBorders>
              <w:top w:val="single" w:sz="6" w:space="0" w:color="DDDDDD"/>
              <w:left w:val="nil"/>
              <w:bottom w:val="single" w:sz="6" w:space="0" w:color="DDDDDD"/>
              <w:right w:val="nil"/>
            </w:tcBorders>
          </w:tcPr>
          <w:p w:rsidR="001B2E9C" w:rsidRDefault="00971BCD">
            <w:pPr>
              <w:ind w:left="108" w:right="109"/>
              <w:jc w:val="left"/>
            </w:pPr>
            <w:r>
              <w:rPr>
                <w:color w:val="000000"/>
                <w:sz w:val="22"/>
                <w:u w:val="none" w:color="000000"/>
              </w:rPr>
              <w:t>7. Encounters with further and higher education</w:t>
            </w:r>
            <w:r>
              <w:rPr>
                <w:rFonts w:ascii="Arial" w:eastAsia="Arial" w:hAnsi="Arial" w:cs="Arial"/>
                <w:sz w:val="22"/>
                <w:u w:val="none" w:color="000000"/>
              </w:rPr>
              <w:t xml:space="preserve"> </w:t>
            </w:r>
          </w:p>
        </w:tc>
        <w:tc>
          <w:tcPr>
            <w:tcW w:w="11743" w:type="dxa"/>
            <w:tcBorders>
              <w:top w:val="single" w:sz="6" w:space="0" w:color="DDDDDD"/>
              <w:left w:val="nil"/>
              <w:bottom w:val="single" w:sz="6" w:space="0" w:color="DDDDDD"/>
              <w:right w:val="nil"/>
            </w:tcBorders>
          </w:tcPr>
          <w:p w:rsidR="001B2E9C" w:rsidRDefault="00971BCD">
            <w:pPr>
              <w:spacing w:line="278" w:lineRule="auto"/>
              <w:ind w:right="0"/>
              <w:jc w:val="left"/>
            </w:pPr>
            <w:r>
              <w:rPr>
                <w:color w:val="000000"/>
                <w:sz w:val="22"/>
                <w:u w:val="none" w:color="000000"/>
              </w:rPr>
              <w:t>All students will take part in college acquaint days at the appropriate time as dictated by our college partners. Students also receive a pre-application assembly from each of our partner colleges ahead of making their final choices.</w:t>
            </w:r>
            <w:r>
              <w:rPr>
                <w:rFonts w:ascii="Arial" w:eastAsia="Arial" w:hAnsi="Arial" w:cs="Arial"/>
                <w:sz w:val="22"/>
                <w:u w:val="none" w:color="000000"/>
              </w:rPr>
              <w:t xml:space="preserve"> </w:t>
            </w:r>
          </w:p>
          <w:p w:rsidR="001B2E9C" w:rsidRDefault="00971BCD">
            <w:pPr>
              <w:ind w:right="0"/>
              <w:jc w:val="left"/>
            </w:pPr>
            <w:r>
              <w:rPr>
                <w:color w:val="000000"/>
                <w:sz w:val="22"/>
                <w:u w:val="none" w:color="000000"/>
              </w:rPr>
              <w:t xml:space="preserve">A number of students </w:t>
            </w:r>
            <w:r>
              <w:rPr>
                <w:color w:val="000000"/>
                <w:sz w:val="22"/>
                <w:u w:val="none" w:color="000000"/>
              </w:rPr>
              <w:t xml:space="preserve">are enrolled on the University of Manchester’s Gateways Programme which </w:t>
            </w:r>
            <w:bookmarkStart w:id="0" w:name="_GoBack"/>
            <w:bookmarkEnd w:id="0"/>
            <w:r>
              <w:rPr>
                <w:color w:val="000000"/>
                <w:sz w:val="22"/>
                <w:u w:val="none" w:color="000000"/>
              </w:rPr>
              <w:t>allows learners in Years 7 to 11, who have the ability to progress into HE, and are from backgrounds that are currently under-represented, to participate in a series of academic enric</w:t>
            </w:r>
            <w:r>
              <w:rPr>
                <w:color w:val="000000"/>
                <w:sz w:val="22"/>
                <w:u w:val="none" w:color="000000"/>
              </w:rPr>
              <w:t>hment and higher education (HE) awareness activities.</w:t>
            </w:r>
            <w:r>
              <w:rPr>
                <w:rFonts w:ascii="Arial" w:eastAsia="Arial" w:hAnsi="Arial" w:cs="Arial"/>
                <w:sz w:val="22"/>
                <w:u w:val="none" w:color="000000"/>
              </w:rPr>
              <w:t xml:space="preserve"> </w:t>
            </w:r>
          </w:p>
        </w:tc>
      </w:tr>
      <w:tr w:rsidR="001B2E9C">
        <w:trPr>
          <w:trHeight w:val="1081"/>
        </w:trPr>
        <w:tc>
          <w:tcPr>
            <w:tcW w:w="3648" w:type="dxa"/>
            <w:tcBorders>
              <w:top w:val="single" w:sz="6" w:space="0" w:color="DDDDDD"/>
              <w:left w:val="nil"/>
              <w:bottom w:val="nil"/>
              <w:right w:val="nil"/>
            </w:tcBorders>
            <w:shd w:val="clear" w:color="auto" w:fill="F3F3F3"/>
          </w:tcPr>
          <w:p w:rsidR="001B2E9C" w:rsidRDefault="00971BCD">
            <w:pPr>
              <w:ind w:left="108" w:right="0"/>
              <w:jc w:val="left"/>
            </w:pPr>
            <w:r>
              <w:rPr>
                <w:color w:val="000000"/>
                <w:sz w:val="22"/>
                <w:u w:val="none" w:color="000000"/>
              </w:rPr>
              <w:lastRenderedPageBreak/>
              <w:t>8. Personal guidance</w:t>
            </w:r>
            <w:r>
              <w:rPr>
                <w:rFonts w:ascii="Arial" w:eastAsia="Arial" w:hAnsi="Arial" w:cs="Arial"/>
                <w:sz w:val="22"/>
                <w:u w:val="none" w:color="000000"/>
              </w:rPr>
              <w:t xml:space="preserve"> </w:t>
            </w:r>
          </w:p>
          <w:p w:rsidR="001B2E9C" w:rsidRDefault="00971BCD">
            <w:pPr>
              <w:ind w:left="108" w:right="0"/>
              <w:jc w:val="left"/>
            </w:pPr>
            <w:r>
              <w:rPr>
                <w:sz w:val="22"/>
                <w:u w:val="none" w:color="000000"/>
              </w:rPr>
              <w:t xml:space="preserve"> </w:t>
            </w:r>
          </w:p>
          <w:p w:rsidR="001B2E9C" w:rsidRDefault="00971BCD">
            <w:pPr>
              <w:ind w:left="108" w:right="0"/>
              <w:jc w:val="left"/>
            </w:pPr>
            <w:r>
              <w:rPr>
                <w:sz w:val="22"/>
                <w:u w:val="none" w:color="000000"/>
              </w:rPr>
              <w:t xml:space="preserve"> </w:t>
            </w:r>
          </w:p>
          <w:p w:rsidR="001B2E9C" w:rsidRDefault="00971BCD">
            <w:pPr>
              <w:ind w:left="108" w:right="0"/>
              <w:jc w:val="left"/>
            </w:pPr>
            <w:r>
              <w:rPr>
                <w:sz w:val="22"/>
                <w:u w:val="none" w:color="000000"/>
              </w:rPr>
              <w:t xml:space="preserve"> </w:t>
            </w:r>
          </w:p>
        </w:tc>
        <w:tc>
          <w:tcPr>
            <w:tcW w:w="11743" w:type="dxa"/>
            <w:tcBorders>
              <w:top w:val="single" w:sz="6" w:space="0" w:color="DDDDDD"/>
              <w:left w:val="nil"/>
              <w:bottom w:val="nil"/>
              <w:right w:val="nil"/>
            </w:tcBorders>
            <w:shd w:val="clear" w:color="auto" w:fill="F3F3F3"/>
          </w:tcPr>
          <w:p w:rsidR="001B2E9C" w:rsidRDefault="00971BCD">
            <w:pPr>
              <w:ind w:right="36"/>
              <w:jc w:val="left"/>
            </w:pPr>
            <w:r>
              <w:rPr>
                <w:color w:val="000000"/>
                <w:sz w:val="22"/>
                <w:u w:val="none" w:color="000000"/>
              </w:rPr>
              <w:t>Students in year 9 meet with our Connexions Career Adviser before making their final Key Stage 4 options selection. Each student will then have two further careers meetings</w:t>
            </w:r>
            <w:r>
              <w:rPr>
                <w:color w:val="000000"/>
                <w:sz w:val="22"/>
                <w:u w:val="none" w:color="000000"/>
              </w:rPr>
              <w:t xml:space="preserve"> across Years 10 and 11 to ensure that each student is well informed ahead of making their final post-16 application. St Antony’s works in partnership with Trafford Connexions for the provision of independent careers information, advice and guidance.</w:t>
            </w:r>
            <w:r>
              <w:rPr>
                <w:rFonts w:ascii="Arial" w:eastAsia="Arial" w:hAnsi="Arial" w:cs="Arial"/>
                <w:sz w:val="22"/>
                <w:u w:val="none" w:color="000000"/>
              </w:rPr>
              <w:t xml:space="preserve"> </w:t>
            </w:r>
          </w:p>
        </w:tc>
      </w:tr>
    </w:tbl>
    <w:p w:rsidR="001B2E9C" w:rsidRDefault="00971BCD">
      <w:pPr>
        <w:ind w:right="0"/>
        <w:jc w:val="left"/>
      </w:pPr>
      <w:r>
        <w:rPr>
          <w:sz w:val="22"/>
          <w:u w:val="none" w:color="000000"/>
        </w:rPr>
        <w:t xml:space="preserve"> </w:t>
      </w:r>
    </w:p>
    <w:sectPr w:rsidR="001B2E9C">
      <w:pgSz w:w="16838" w:h="11906" w:orient="landscape"/>
      <w:pgMar w:top="450" w:right="1440" w:bottom="14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C"/>
    <w:rsid w:val="001B2E9C"/>
    <w:rsid w:val="0084595F"/>
    <w:rsid w:val="0097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7C94"/>
  <w15:docId w15:val="{8A076D56-41E0-4AFD-9AC4-AB001D6C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right="4497"/>
      <w:jc w:val="right"/>
    </w:pPr>
    <w:rPr>
      <w:rFonts w:ascii="Calibri" w:eastAsia="Calibri" w:hAnsi="Calibri" w:cs="Calibri"/>
      <w:color w:val="002663"/>
      <w:sz w:val="24"/>
      <w:u w:val="single" w:color="0026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cp:lastModifiedBy>Ruddock Miss H</cp:lastModifiedBy>
  <cp:revision>2</cp:revision>
  <dcterms:created xsi:type="dcterms:W3CDTF">2022-12-01T11:31:00Z</dcterms:created>
  <dcterms:modified xsi:type="dcterms:W3CDTF">2022-12-01T11:31:00Z</dcterms:modified>
</cp:coreProperties>
</file>