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13" w:rsidRDefault="007B53D3">
      <w:pPr>
        <w:jc w:val="right"/>
      </w:pPr>
      <w:r>
        <w:rPr>
          <w:i/>
          <w:noProof/>
          <w:sz w:val="32"/>
          <w:szCs w:val="32"/>
          <w:lang w:eastAsia="en-GB"/>
        </w:rPr>
        <mc:AlternateContent>
          <mc:Choice Requires="wps">
            <w:drawing>
              <wp:anchor distT="45720" distB="45720" distL="114300" distR="114300" simplePos="0" relativeHeight="251671487" behindDoc="0" locked="0" layoutInCell="1" allowOverlap="1">
                <wp:simplePos x="0" y="0"/>
                <wp:positionH relativeFrom="margin">
                  <wp:posOffset>2190750</wp:posOffset>
                </wp:positionH>
                <wp:positionV relativeFrom="paragraph">
                  <wp:posOffset>0</wp:posOffset>
                </wp:positionV>
                <wp:extent cx="4667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rsidR="00C70D13" w:rsidRDefault="007B53D3">
                            <w:pPr>
                              <w:jc w:val="right"/>
                              <w:rPr>
                                <w:sz w:val="32"/>
                                <w:szCs w:val="32"/>
                              </w:rPr>
                            </w:pPr>
                            <w:r>
                              <w:rPr>
                                <w:sz w:val="32"/>
                                <w:szCs w:val="32"/>
                              </w:rPr>
                              <w:t xml:space="preserve"> </w:t>
                            </w:r>
                          </w:p>
                          <w:p w:rsidR="00C70D13" w:rsidRDefault="007B53D3">
                            <w:pPr>
                              <w:jc w:val="right"/>
                              <w:rPr>
                                <w:sz w:val="32"/>
                                <w:szCs w:val="32"/>
                              </w:rPr>
                            </w:pPr>
                            <w:r>
                              <w:rPr>
                                <w:sz w:val="32"/>
                                <w:szCs w:val="32"/>
                              </w:rPr>
                              <w:t>Date of last review: Nov</w:t>
                            </w:r>
                            <w:r>
                              <w:rPr>
                                <w:sz w:val="32"/>
                                <w:szCs w:val="32"/>
                              </w:rPr>
                              <w:t xml:space="preserve"> 2022</w:t>
                            </w:r>
                          </w:p>
                          <w:p w:rsidR="00C70D13" w:rsidRDefault="007B53D3">
                            <w:pPr>
                              <w:jc w:val="right"/>
                              <w:rPr>
                                <w:sz w:val="32"/>
                                <w:szCs w:val="32"/>
                              </w:rPr>
                            </w:pPr>
                            <w:r>
                              <w:rPr>
                                <w:sz w:val="32"/>
                                <w:szCs w:val="32"/>
                              </w:rPr>
                              <w:t>Date approved: Nov</w:t>
                            </w:r>
                            <w:r>
                              <w:rPr>
                                <w:sz w:val="32"/>
                                <w:szCs w:val="32"/>
                              </w:rPr>
                              <w:t xml:space="preserve"> 2022 </w:t>
                            </w:r>
                          </w:p>
                          <w:p w:rsidR="00C70D13" w:rsidRDefault="007B53D3">
                            <w:pPr>
                              <w:jc w:val="right"/>
                              <w:rPr>
                                <w:sz w:val="32"/>
                                <w:szCs w:val="32"/>
                              </w:rPr>
                            </w:pPr>
                            <w:r>
                              <w:rPr>
                                <w:sz w:val="32"/>
                                <w:szCs w:val="32"/>
                              </w:rPr>
                              <w:t>Date for next review: September 2023</w:t>
                            </w:r>
                            <w:r>
                              <w:rPr>
                                <w:sz w:val="32"/>
                                <w:szCs w:val="32"/>
                              </w:rPr>
                              <w:t xml:space="preserve"> </w:t>
                            </w:r>
                          </w:p>
                          <w:p w:rsidR="00C70D13" w:rsidRDefault="007B53D3">
                            <w:pPr>
                              <w:jc w:val="right"/>
                              <w:rPr>
                                <w:sz w:val="40"/>
                                <w:szCs w:val="40"/>
                              </w:rPr>
                            </w:pPr>
                            <w:r>
                              <w:rPr>
                                <w:sz w:val="32"/>
                                <w:szCs w:val="32"/>
                              </w:rPr>
                              <w:t>Author: H Ruddock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0;width:367.5pt;height:110.6pt;z-index:2516714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MU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" stroked="f">
                <v:textbox style="mso-fit-shape-to-text:t">
                  <w:txbxContent>
                    <w:p w:rsidR="00C70D13" w:rsidRDefault="007B53D3">
                      <w:pPr>
                        <w:jc w:val="right"/>
                        <w:rPr>
                          <w:sz w:val="32"/>
                          <w:szCs w:val="32"/>
                        </w:rPr>
                      </w:pPr>
                      <w:r>
                        <w:rPr>
                          <w:sz w:val="32"/>
                          <w:szCs w:val="32"/>
                        </w:rPr>
                        <w:t xml:space="preserve"> </w:t>
                      </w:r>
                    </w:p>
                    <w:p w:rsidR="00C70D13" w:rsidRDefault="007B53D3">
                      <w:pPr>
                        <w:jc w:val="right"/>
                        <w:rPr>
                          <w:sz w:val="32"/>
                          <w:szCs w:val="32"/>
                        </w:rPr>
                      </w:pPr>
                      <w:r>
                        <w:rPr>
                          <w:sz w:val="32"/>
                          <w:szCs w:val="32"/>
                        </w:rPr>
                        <w:t>Date of last review: Nov</w:t>
                      </w:r>
                      <w:r>
                        <w:rPr>
                          <w:sz w:val="32"/>
                          <w:szCs w:val="32"/>
                        </w:rPr>
                        <w:t xml:space="preserve"> 2022</w:t>
                      </w:r>
                    </w:p>
                    <w:p w:rsidR="00C70D13" w:rsidRDefault="007B53D3">
                      <w:pPr>
                        <w:jc w:val="right"/>
                        <w:rPr>
                          <w:sz w:val="32"/>
                          <w:szCs w:val="32"/>
                        </w:rPr>
                      </w:pPr>
                      <w:r>
                        <w:rPr>
                          <w:sz w:val="32"/>
                          <w:szCs w:val="32"/>
                        </w:rPr>
                        <w:t>Date approved: Nov</w:t>
                      </w:r>
                      <w:r>
                        <w:rPr>
                          <w:sz w:val="32"/>
                          <w:szCs w:val="32"/>
                        </w:rPr>
                        <w:t xml:space="preserve"> 2022 </w:t>
                      </w:r>
                    </w:p>
                    <w:p w:rsidR="00C70D13" w:rsidRDefault="007B53D3">
                      <w:pPr>
                        <w:jc w:val="right"/>
                        <w:rPr>
                          <w:sz w:val="32"/>
                          <w:szCs w:val="32"/>
                        </w:rPr>
                      </w:pPr>
                      <w:r>
                        <w:rPr>
                          <w:sz w:val="32"/>
                          <w:szCs w:val="32"/>
                        </w:rPr>
                        <w:t>Date for next review: September 2023</w:t>
                      </w:r>
                      <w:r>
                        <w:rPr>
                          <w:sz w:val="32"/>
                          <w:szCs w:val="32"/>
                        </w:rPr>
                        <w:t xml:space="preserve"> </w:t>
                      </w:r>
                    </w:p>
                    <w:p w:rsidR="00C70D13" w:rsidRDefault="007B53D3">
                      <w:pPr>
                        <w:jc w:val="right"/>
                        <w:rPr>
                          <w:sz w:val="40"/>
                          <w:szCs w:val="40"/>
                        </w:rPr>
                      </w:pPr>
                      <w:r>
                        <w:rPr>
                          <w:sz w:val="32"/>
                          <w:szCs w:val="32"/>
                        </w:rPr>
                        <w:t>Author: H Ruddock</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535" behindDoc="0" locked="0" layoutInCell="1" allowOverlap="1">
                <wp:simplePos x="0" y="0"/>
                <wp:positionH relativeFrom="margin">
                  <wp:posOffset>1638300</wp:posOffset>
                </wp:positionH>
                <wp:positionV relativeFrom="paragraph">
                  <wp:posOffset>8498205</wp:posOffset>
                </wp:positionV>
                <wp:extent cx="5220970"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276350"/>
                        </a:xfrm>
                        <a:prstGeom prst="rect">
                          <a:avLst/>
                        </a:prstGeom>
                        <a:solidFill>
                          <a:srgbClr val="FFFFFF"/>
                        </a:solidFill>
                        <a:ln w="9525">
                          <a:noFill/>
                          <a:miter lim="800000"/>
                          <a:headEnd/>
                          <a:tailEnd/>
                        </a:ln>
                      </wps:spPr>
                      <wps:txbx>
                        <w:txbxContent>
                          <w:p w:rsidR="00C70D13" w:rsidRDefault="007B53D3">
                            <w:pPr>
                              <w:jc w:val="both"/>
                              <w:rPr>
                                <w:rFonts w:ascii="Calibri Light" w:hAnsi="Calibri Light" w:cs="Calibri Light"/>
                                <w:color w:val="2E74B5"/>
                                <w:sz w:val="36"/>
                                <w:szCs w:val="36"/>
                              </w:rPr>
                            </w:pPr>
                            <w:r>
                              <w:rPr>
                                <w:rFonts w:ascii="Calibri Light" w:hAnsi="Calibri Light" w:cs="Calibri Light"/>
                                <w:color w:val="2E74B5"/>
                                <w:sz w:val="36"/>
                                <w:szCs w:val="36"/>
                              </w:rPr>
                              <w:t>Mission Statement:</w:t>
                            </w:r>
                          </w:p>
                          <w:p w:rsidR="00C70D13" w:rsidRDefault="007B53D3">
                            <w:pPr>
                              <w:rPr>
                                <w:rFonts w:ascii="Calibri" w:eastAsia="Calibri" w:hAnsi="Calibri"/>
                                <w:color w:val="2E74B5"/>
                                <w:sz w:val="36"/>
                                <w:szCs w:val="36"/>
                              </w:rPr>
                            </w:pPr>
                            <w:r>
                              <w:rPr>
                                <w:rFonts w:ascii="Calibri Light" w:hAnsi="Calibri Light" w:cs="Calibri Light"/>
                                <w:color w:val="2E74B5"/>
                                <w:sz w:val="36"/>
                                <w:szCs w:val="36"/>
                              </w:rPr>
                              <w:t>Let the light and splendour of Christ shine from within us all.</w:t>
                            </w:r>
                          </w:p>
                          <w:p w:rsidR="00C70D13" w:rsidRDefault="00C70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669.15pt;width:411.1pt;height:100.5pt;z-index:2516735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" stroked="f">
                <v:textbox>
                  <w:txbxContent>
                    <w:p w:rsidR="00C70D13" w:rsidRDefault="007B53D3">
                      <w:pPr>
                        <w:jc w:val="both"/>
                        <w:rPr>
                          <w:rFonts w:ascii="Calibri Light" w:hAnsi="Calibri Light" w:cs="Calibri Light"/>
                          <w:color w:val="2E74B5"/>
                          <w:sz w:val="36"/>
                          <w:szCs w:val="36"/>
                        </w:rPr>
                      </w:pPr>
                      <w:r>
                        <w:rPr>
                          <w:rFonts w:ascii="Calibri Light" w:hAnsi="Calibri Light" w:cs="Calibri Light"/>
                          <w:color w:val="2E74B5"/>
                          <w:sz w:val="36"/>
                          <w:szCs w:val="36"/>
                        </w:rPr>
                        <w:t>Mission Statement:</w:t>
                      </w:r>
                    </w:p>
                    <w:p w:rsidR="00C70D13" w:rsidRDefault="007B53D3">
                      <w:pPr>
                        <w:rPr>
                          <w:rFonts w:ascii="Calibri" w:eastAsia="Calibri" w:hAnsi="Calibri"/>
                          <w:color w:val="2E74B5"/>
                          <w:sz w:val="36"/>
                          <w:szCs w:val="36"/>
                        </w:rPr>
                      </w:pPr>
                      <w:r>
                        <w:rPr>
                          <w:rFonts w:ascii="Calibri Light" w:hAnsi="Calibri Light" w:cs="Calibri Light"/>
                          <w:color w:val="2E74B5"/>
                          <w:sz w:val="36"/>
                          <w:szCs w:val="36"/>
                        </w:rPr>
                        <w:t>Let the light and splendour of Christ shine from within us all.</w:t>
                      </w:r>
                    </w:p>
                    <w:p w:rsidR="00C70D13" w:rsidRDefault="00C70D13"/>
                  </w:txbxContent>
                </v:textbox>
                <w10:wrap type="square" anchorx="margin"/>
              </v:shape>
            </w:pict>
          </mc:Fallback>
        </mc:AlternateContent>
      </w:r>
      <w:r>
        <w:rPr>
          <w:noProof/>
          <w:color w:val="2F5496" w:themeColor="accent5" w:themeShade="BF"/>
          <w:lang w:eastAsia="en-GB"/>
        </w:rPr>
        <mc:AlternateContent>
          <mc:Choice Requires="wps">
            <w:drawing>
              <wp:anchor distT="91440" distB="91440" distL="114300" distR="114300" simplePos="0" relativeHeight="251663360" behindDoc="1" locked="0" layoutInCell="1" allowOverlap="1">
                <wp:simplePos x="0" y="0"/>
                <wp:positionH relativeFrom="page">
                  <wp:posOffset>-4138295</wp:posOffset>
                </wp:positionH>
                <wp:positionV relativeFrom="paragraph">
                  <wp:posOffset>4262120</wp:posOffset>
                </wp:positionV>
                <wp:extent cx="99231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23145" cy="1403985"/>
                        </a:xfrm>
                        <a:prstGeom prst="rect">
                          <a:avLst/>
                        </a:prstGeom>
                        <a:noFill/>
                        <a:ln w="9525">
                          <a:noFill/>
                          <a:miter lim="800000"/>
                          <a:headEnd/>
                          <a:tailEnd/>
                        </a:ln>
                      </wps:spPr>
                      <wps:txbx>
                        <w:txbxContent>
                          <w:p w:rsidR="00C70D13" w:rsidRDefault="007B53D3">
                            <w:pPr>
                              <w:pBdr>
                                <w:top w:val="single" w:sz="24" w:space="8" w:color="5B9BD5" w:themeColor="accent1"/>
                                <w:bottom w:val="single" w:sz="24" w:space="8" w:color="5B9BD5" w:themeColor="accent1"/>
                              </w:pBdr>
                              <w:spacing w:after="0"/>
                              <w:rPr>
                                <w:i/>
                                <w:iCs/>
                                <w:color w:val="5B9BD5" w:themeColor="accent1"/>
                                <w:sz w:val="144"/>
                                <w:szCs w:val="144"/>
                              </w:rPr>
                            </w:pPr>
                            <w:r>
                              <w:rPr>
                                <w:i/>
                                <w:iCs/>
                                <w:color w:val="5B9BD5" w:themeColor="accent1"/>
                                <w:sz w:val="144"/>
                                <w:szCs w:val="144"/>
                              </w:rPr>
                              <w:t xml:space="preserve">Aspire </w:t>
                            </w:r>
                            <w:r>
                              <w:rPr>
                                <w:i/>
                                <w:iCs/>
                                <w:color w:val="5B9BD5" w:themeColor="accent1"/>
                                <w:sz w:val="144"/>
                                <w:szCs w:val="144"/>
                                <w:vertAlign w:val="subscript"/>
                              </w:rPr>
                              <w:t>~</w:t>
                            </w:r>
                            <w:r>
                              <w:rPr>
                                <w:i/>
                                <w:iCs/>
                                <w:color w:val="5B9BD5" w:themeColor="accent1"/>
                                <w:sz w:val="144"/>
                                <w:szCs w:val="144"/>
                              </w:rPr>
                              <w:t xml:space="preserve"> Believe </w:t>
                            </w:r>
                            <w:r>
                              <w:rPr>
                                <w:i/>
                                <w:iCs/>
                                <w:color w:val="5B9BD5" w:themeColor="accent1"/>
                                <w:sz w:val="144"/>
                                <w:szCs w:val="144"/>
                                <w:vertAlign w:val="subscript"/>
                              </w:rPr>
                              <w:t>~</w:t>
                            </w:r>
                            <w:r>
                              <w:rPr>
                                <w:i/>
                                <w:iCs/>
                                <w:color w:val="5B9BD5" w:themeColor="accent1"/>
                                <w:sz w:val="144"/>
                                <w:szCs w:val="144"/>
                              </w:rPr>
                              <w:t xml:space="preserve">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5.85pt;margin-top:335.6pt;width:781.35pt;height:110.55pt;rotation:-90;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" filled="f" stroked="f">
                <v:textbox style="mso-fit-shape-to-text:t">
                  <w:txbxContent>
                    <w:p w:rsidR="00C70D13" w:rsidRDefault="007B53D3">
                      <w:pPr>
                        <w:pBdr>
                          <w:top w:val="single" w:sz="24" w:space="8" w:color="5B9BD5" w:themeColor="accent1"/>
                          <w:bottom w:val="single" w:sz="24" w:space="8" w:color="5B9BD5" w:themeColor="accent1"/>
                        </w:pBdr>
                        <w:spacing w:after="0"/>
                        <w:rPr>
                          <w:i/>
                          <w:iCs/>
                          <w:color w:val="5B9BD5" w:themeColor="accent1"/>
                          <w:sz w:val="144"/>
                          <w:szCs w:val="144"/>
                        </w:rPr>
                      </w:pPr>
                      <w:r>
                        <w:rPr>
                          <w:i/>
                          <w:iCs/>
                          <w:color w:val="5B9BD5" w:themeColor="accent1"/>
                          <w:sz w:val="144"/>
                          <w:szCs w:val="144"/>
                        </w:rPr>
                        <w:t xml:space="preserve">Aspire </w:t>
                      </w:r>
                      <w:r>
                        <w:rPr>
                          <w:i/>
                          <w:iCs/>
                          <w:color w:val="5B9BD5" w:themeColor="accent1"/>
                          <w:sz w:val="144"/>
                          <w:szCs w:val="144"/>
                          <w:vertAlign w:val="subscript"/>
                        </w:rPr>
                        <w:t>~</w:t>
                      </w:r>
                      <w:r>
                        <w:rPr>
                          <w:i/>
                          <w:iCs/>
                          <w:color w:val="5B9BD5" w:themeColor="accent1"/>
                          <w:sz w:val="144"/>
                          <w:szCs w:val="144"/>
                        </w:rPr>
                        <w:t xml:space="preserve"> Believe </w:t>
                      </w:r>
                      <w:r>
                        <w:rPr>
                          <w:i/>
                          <w:iCs/>
                          <w:color w:val="5B9BD5" w:themeColor="accent1"/>
                          <w:sz w:val="144"/>
                          <w:szCs w:val="144"/>
                          <w:vertAlign w:val="subscript"/>
                        </w:rPr>
                        <w:t>~</w:t>
                      </w:r>
                      <w:r>
                        <w:rPr>
                          <w:i/>
                          <w:iCs/>
                          <w:color w:val="5B9BD5" w:themeColor="accent1"/>
                          <w:sz w:val="144"/>
                          <w:szCs w:val="144"/>
                        </w:rPr>
                        <w:t xml:space="preserve"> Achieve</w:t>
                      </w:r>
                    </w:p>
                  </w:txbxContent>
                </v:textbox>
                <w10:wrap anchorx="page"/>
              </v:shape>
            </w:pict>
          </mc:Fallback>
        </mc:AlternateContent>
      </w:r>
      <w:r>
        <w:rPr>
          <w:i/>
          <w:noProof/>
          <w:sz w:val="32"/>
          <w:szCs w:val="32"/>
          <w:lang w:eastAsia="en-GB"/>
        </w:rPr>
        <mc:AlternateContent>
          <mc:Choice Requires="wps">
            <w:drawing>
              <wp:anchor distT="0" distB="0" distL="114300" distR="114300" simplePos="0" relativeHeight="251669247" behindDoc="0" locked="0" layoutInCell="1" allowOverlap="1">
                <wp:simplePos x="0" y="0"/>
                <wp:positionH relativeFrom="column">
                  <wp:posOffset>1257300</wp:posOffset>
                </wp:positionH>
                <wp:positionV relativeFrom="paragraph">
                  <wp:posOffset>208915</wp:posOffset>
                </wp:positionV>
                <wp:extent cx="450215" cy="301625"/>
                <wp:effectExtent l="0" t="0" r="138430" b="81280"/>
                <wp:wrapNone/>
                <wp:docPr id="12" name="Isosceles Triangle 12"/>
                <wp:cNvGraphicFramePr/>
                <a:graphic xmlns:a="http://schemas.openxmlformats.org/drawingml/2006/main">
                  <a:graphicData uri="http://schemas.microsoft.com/office/word/2010/wordprocessingShape">
                    <wps:wsp>
                      <wps:cNvSpPr/>
                      <wps:spPr>
                        <a:xfrm rot="18587571">
                          <a:off x="0" y="0"/>
                          <a:ext cx="450215" cy="3016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99pt;margin-top:16.45pt;width:35.45pt;height:23.75pt;rotation:-3290376fd;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" fillcolor="white [3212]" strokecolor="white [3212]" strokeweight="1pt"/>
            </w:pict>
          </mc:Fallback>
        </mc:AlternateContent>
      </w:r>
      <w:r>
        <w:rPr>
          <w:i/>
          <w:noProof/>
          <w:color w:val="2E74B5" w:themeColor="accent1" w:themeShade="BF"/>
          <w:sz w:val="32"/>
          <w:szCs w:val="32"/>
          <w:lang w:eastAsia="en-GB"/>
        </w:rPr>
        <mc:AlternateContent>
          <mc:Choice Requires="wps">
            <w:drawing>
              <wp:anchor distT="0" distB="0" distL="114300" distR="114300" simplePos="0" relativeHeight="251668991" behindDoc="0" locked="0" layoutInCell="1" allowOverlap="1">
                <wp:simplePos x="0" y="0"/>
                <wp:positionH relativeFrom="column">
                  <wp:posOffset>3689350</wp:posOffset>
                </wp:positionH>
                <wp:positionV relativeFrom="paragraph">
                  <wp:posOffset>52705</wp:posOffset>
                </wp:positionV>
                <wp:extent cx="450682" cy="301769"/>
                <wp:effectExtent l="131445" t="0" r="0" b="81280"/>
                <wp:wrapNone/>
                <wp:docPr id="11" name="Isosceles Triangle 11"/>
                <wp:cNvGraphicFramePr/>
                <a:graphic xmlns:a="http://schemas.openxmlformats.org/drawingml/2006/main">
                  <a:graphicData uri="http://schemas.microsoft.com/office/word/2010/wordprocessingShape">
                    <wps:wsp>
                      <wps:cNvSpPr/>
                      <wps:spPr>
                        <a:xfrm rot="3009783">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 o:spid="_x0000_s1026" type="#_x0000_t5" style="position:absolute;margin-left:290.5pt;margin-top:4.15pt;width:35.5pt;height:23.75pt;rotation:3287486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" fillcolor="white [3212]" strokecolor="white [3212]" strokeweight="1pt"/>
            </w:pict>
          </mc:Fallback>
        </mc:AlternateContent>
      </w:r>
      <w:r>
        <w:rPr>
          <w:i/>
          <w:noProof/>
          <w:sz w:val="32"/>
          <w:szCs w:val="32"/>
          <w:lang w:eastAsia="en-GB"/>
        </w:rPr>
        <mc:AlternateContent>
          <mc:Choice Requires="wps">
            <w:drawing>
              <wp:anchor distT="0" distB="0" distL="114300" distR="114300" simplePos="0" relativeHeight="251669439" behindDoc="0" locked="0" layoutInCell="1" allowOverlap="1">
                <wp:simplePos x="0" y="0"/>
                <wp:positionH relativeFrom="column">
                  <wp:posOffset>1188085</wp:posOffset>
                </wp:positionH>
                <wp:positionV relativeFrom="paragraph">
                  <wp:posOffset>4128135</wp:posOffset>
                </wp:positionV>
                <wp:extent cx="450682" cy="301769"/>
                <wp:effectExtent l="0" t="133350" r="83185" b="0"/>
                <wp:wrapNone/>
                <wp:docPr id="14" name="Isosceles Triangle 14"/>
                <wp:cNvGraphicFramePr/>
                <a:graphic xmlns:a="http://schemas.openxmlformats.org/drawingml/2006/main">
                  <a:graphicData uri="http://schemas.microsoft.com/office/word/2010/wordprocessingShape">
                    <wps:wsp>
                      <wps:cNvSpPr/>
                      <wps:spPr>
                        <a:xfrm rot="13234810">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93.55pt;margin-top:325.05pt;width:35.5pt;height:23.75pt;rotation:-9137018fd;z-index:25166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" fillcolor="white [3212]" strokecolor="white [3212]" strokeweight="1pt"/>
            </w:pict>
          </mc:Fallback>
        </mc:AlternateContent>
      </w:r>
      <w:r>
        <w:tab/>
      </w:r>
      <w:r>
        <w:tab/>
      </w:r>
    </w:p>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7B53D3">
      <w:r>
        <w:tab/>
      </w:r>
      <w:r>
        <w:tab/>
      </w:r>
      <w:r>
        <w:tab/>
      </w:r>
      <w:r>
        <w:tab/>
      </w:r>
      <w:r>
        <w:tab/>
      </w:r>
      <w:r>
        <w:tab/>
      </w:r>
      <w:r>
        <w:tab/>
      </w:r>
      <w:r>
        <w:rPr>
          <w:noProof/>
        </w:rPr>
        <w:drawing>
          <wp:inline distT="0" distB="0" distL="0" distR="0">
            <wp:extent cx="1499870" cy="14446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1444625"/>
                    </a:xfrm>
                    <a:prstGeom prst="rect">
                      <a:avLst/>
                    </a:prstGeom>
                    <a:noFill/>
                  </pic:spPr>
                </pic:pic>
              </a:graphicData>
            </a:graphic>
          </wp:inline>
        </w:drawing>
      </w:r>
    </w:p>
    <w:p w:rsidR="00C70D13" w:rsidRDefault="00C70D13"/>
    <w:p w:rsidR="00C70D13" w:rsidRDefault="007B53D3">
      <w:r>
        <w:rPr>
          <w:noProof/>
          <w:lang w:eastAsia="en-GB"/>
        </w:rPr>
        <mc:AlternateContent>
          <mc:Choice Requires="wps">
            <w:drawing>
              <wp:anchor distT="0" distB="0" distL="114300" distR="114300" simplePos="0" relativeHeight="251675583" behindDoc="0" locked="0" layoutInCell="1" allowOverlap="1">
                <wp:simplePos x="0" y="0"/>
                <wp:positionH relativeFrom="column">
                  <wp:posOffset>1466850</wp:posOffset>
                </wp:positionH>
                <wp:positionV relativeFrom="paragraph">
                  <wp:posOffset>182245</wp:posOffset>
                </wp:positionV>
                <wp:extent cx="4947285"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947285" cy="1828800"/>
                        </a:xfrm>
                        <a:prstGeom prst="rect">
                          <a:avLst/>
                        </a:prstGeom>
                        <a:noFill/>
                        <a:ln>
                          <a:noFill/>
                        </a:ln>
                        <a:effectLst/>
                      </wps:spPr>
                      <wps:txbx>
                        <w:txbxContent>
                          <w:p w:rsidR="00C70D13" w:rsidRDefault="007B53D3">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Provider’s Access Policy and Baker Clause</w:t>
                            </w: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9" type="#_x0000_t202" style="position:absolute;margin-left:115.5pt;margin-top:14.35pt;width:389.55pt;height:2in;z-index:2516755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" filled="f" stroked="f">
                <v:textbox style="mso-fit-shape-to-text:t">
                  <w:txbxContent>
                    <w:p w:rsidR="00C70D13" w:rsidRDefault="007B53D3">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Provider’s Access Policy and Baker Clause</w:t>
                      </w: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Statement</w:t>
                      </w:r>
                    </w:p>
                  </w:txbxContent>
                </v:textbox>
              </v:shape>
            </w:pict>
          </mc:Fallback>
        </mc:AlternateContent>
      </w:r>
    </w:p>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C70D13"/>
    <w:p w:rsidR="00C70D13" w:rsidRDefault="007B53D3">
      <w:pPr>
        <w:tabs>
          <w:tab w:val="left" w:pos="3255"/>
        </w:tabs>
      </w:pPr>
      <w:r>
        <w:tab/>
      </w:r>
    </w:p>
    <w:p w:rsidR="00C70D13" w:rsidRDefault="00C70D13">
      <w:pPr>
        <w:tabs>
          <w:tab w:val="left" w:pos="3255"/>
        </w:tabs>
      </w:pPr>
    </w:p>
    <w:p w:rsidR="00C70D13" w:rsidRDefault="00C70D13">
      <w:pPr>
        <w:tabs>
          <w:tab w:val="left" w:pos="3255"/>
        </w:tabs>
      </w:pPr>
    </w:p>
    <w:p w:rsidR="00C70D13" w:rsidRDefault="00C70D13">
      <w:pPr>
        <w:tabs>
          <w:tab w:val="left" w:pos="3255"/>
        </w:tabs>
      </w:pPr>
    </w:p>
    <w:p w:rsidR="00C70D13" w:rsidRDefault="00C70D13">
      <w:pPr>
        <w:tabs>
          <w:tab w:val="left" w:pos="3255"/>
        </w:tabs>
      </w:pPr>
    </w:p>
    <w:p w:rsidR="00C70D13" w:rsidRDefault="00C70D13">
      <w:pPr>
        <w:tabs>
          <w:tab w:val="left" w:pos="3255"/>
        </w:tabs>
      </w:pPr>
    </w:p>
    <w:p w:rsidR="00C70D13" w:rsidRDefault="00C70D13">
      <w:pPr>
        <w:tabs>
          <w:tab w:val="left" w:pos="3255"/>
        </w:tabs>
      </w:pPr>
    </w:p>
    <w:p w:rsidR="00C70D13" w:rsidRDefault="007B53D3" w:rsidP="007B53D3">
      <w:pPr>
        <w:pStyle w:val="Default"/>
        <w:jc w:val="center"/>
        <w:rPr>
          <w:rFonts w:asciiTheme="majorHAnsi" w:hAnsiTheme="majorHAnsi"/>
          <w:b/>
          <w:bCs/>
        </w:rPr>
      </w:pPr>
      <w:r>
        <w:rPr>
          <w:rFonts w:asciiTheme="majorHAnsi" w:hAnsiTheme="majorHAnsi"/>
          <w:b/>
          <w:bCs/>
        </w:rPr>
        <w:lastRenderedPageBreak/>
        <w:t xml:space="preserve">Provider Access Policy and Baker Clause </w:t>
      </w:r>
      <w:bookmarkStart w:id="0" w:name="_GoBack"/>
      <w:bookmarkEnd w:id="0"/>
      <w:r>
        <w:rPr>
          <w:rFonts w:asciiTheme="majorHAnsi" w:hAnsiTheme="majorHAnsi"/>
          <w:b/>
          <w:bCs/>
        </w:rPr>
        <w:t>Statement</w:t>
      </w:r>
    </w:p>
    <w:p w:rsidR="00C70D13" w:rsidRDefault="00C70D13">
      <w:pPr>
        <w:pStyle w:val="Default"/>
        <w:rPr>
          <w:rFonts w:asciiTheme="majorHAnsi" w:hAnsiTheme="majorHAnsi"/>
          <w:b/>
          <w:bCs/>
        </w:rPr>
      </w:pPr>
    </w:p>
    <w:p w:rsidR="007B53D3" w:rsidRDefault="007B53D3" w:rsidP="007B53D3">
      <w:r>
        <w:t>This policy statement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w:t>
      </w:r>
    </w:p>
    <w:p w:rsidR="007B53D3" w:rsidRDefault="007B53D3" w:rsidP="007B53D3">
      <w:r>
        <w:t>At St Antony’s, we understand and meet the requirements of this section 42B of the Education Act 1997 (the ‘Baker clause’), which came into force in January 2018 and we meet the requirements to:</w:t>
      </w:r>
    </w:p>
    <w:p w:rsidR="007B53D3" w:rsidRPr="00812356" w:rsidRDefault="007B53D3" w:rsidP="007B53D3">
      <w:pPr>
        <w:pStyle w:val="ListParagraph"/>
        <w:numPr>
          <w:ilvl w:val="0"/>
          <w:numId w:val="12"/>
        </w:numPr>
        <w:rPr>
          <w:b/>
          <w:sz w:val="28"/>
          <w:u w:val="single"/>
        </w:rPr>
      </w:pPr>
      <w:r>
        <w:t>Provide opportunities for a range of education and training providers and speakers for pupils in years 7 to 11 (and with their post-16 choices) to inform them about technical education qualifications and apprenticeships.</w:t>
      </w:r>
    </w:p>
    <w:p w:rsidR="007B53D3" w:rsidRPr="00812356" w:rsidRDefault="007B53D3" w:rsidP="007B53D3">
      <w:pPr>
        <w:pStyle w:val="ListParagraph"/>
        <w:numPr>
          <w:ilvl w:val="0"/>
          <w:numId w:val="12"/>
        </w:numPr>
        <w:rPr>
          <w:b/>
          <w:sz w:val="28"/>
          <w:u w:val="single"/>
        </w:rPr>
      </w:pPr>
      <w:r>
        <w:t>Publish a policy statement setting out the arrangements the school has in place for pupils to access education and training providers.</w:t>
      </w:r>
    </w:p>
    <w:p w:rsidR="007B53D3" w:rsidRPr="00812356" w:rsidRDefault="007B53D3" w:rsidP="007B53D3">
      <w:pPr>
        <w:pStyle w:val="ListParagraph"/>
        <w:numPr>
          <w:ilvl w:val="0"/>
          <w:numId w:val="12"/>
        </w:numPr>
        <w:rPr>
          <w:b/>
          <w:sz w:val="28"/>
          <w:u w:val="single"/>
        </w:rPr>
      </w:pPr>
      <w:r>
        <w:t>Make sure the policy statement is followed so that all pupils in years 7 to 11 (and with their post-16 choices) receive information about the full range of education and training options.</w:t>
      </w:r>
    </w:p>
    <w:p w:rsidR="007B53D3" w:rsidRDefault="007B53D3" w:rsidP="007B53D3">
      <w:r>
        <w:t>As part of our CEAIG programme, we will consider requests from approved training, apprenticeship and vocational education providers to speak to students. We also approach these providers when planning and organising key CEAIG events throughout the school year.</w:t>
      </w:r>
    </w:p>
    <w:p w:rsidR="007B53D3" w:rsidRDefault="007B53D3" w:rsidP="007B53D3">
      <w:r>
        <w:t xml:space="preserve">All requests should be emailed at least 6 weeks in advance of an expected date for the planned session. In the first instance, requests by providers should be sent to </w:t>
      </w:r>
      <w:hyperlink r:id="rId8" w:history="1">
        <w:r w:rsidRPr="006F2C2F">
          <w:rPr>
            <w:rStyle w:val="Hyperlink"/>
          </w:rPr>
          <w:t>h.ruddock@st-antonys.com</w:t>
        </w:r>
      </w:hyperlink>
      <w:r>
        <w:t xml:space="preserve"> and should include:</w:t>
      </w:r>
    </w:p>
    <w:p w:rsidR="007B53D3" w:rsidRPr="00812356" w:rsidRDefault="007B53D3" w:rsidP="007B53D3">
      <w:pPr>
        <w:pStyle w:val="ListParagraph"/>
        <w:numPr>
          <w:ilvl w:val="0"/>
          <w:numId w:val="13"/>
        </w:numPr>
        <w:rPr>
          <w:b/>
          <w:sz w:val="28"/>
          <w:u w:val="single"/>
        </w:rPr>
      </w:pPr>
      <w:r>
        <w:t>The proposed format, timings and duration of the planned session.</w:t>
      </w:r>
    </w:p>
    <w:p w:rsidR="007B53D3" w:rsidRPr="00812356" w:rsidRDefault="007B53D3" w:rsidP="007B53D3">
      <w:pPr>
        <w:pStyle w:val="ListParagraph"/>
        <w:numPr>
          <w:ilvl w:val="0"/>
          <w:numId w:val="13"/>
        </w:numPr>
        <w:rPr>
          <w:b/>
          <w:sz w:val="28"/>
          <w:u w:val="single"/>
        </w:rPr>
      </w:pPr>
      <w:r>
        <w:t xml:space="preserve">The number of </w:t>
      </w:r>
      <w:proofErr w:type="gramStart"/>
      <w:r>
        <w:t>staff</w:t>
      </w:r>
      <w:proofErr w:type="gramEnd"/>
      <w:r>
        <w:t xml:space="preserve"> from the provider’s organisation who propose to visit.</w:t>
      </w:r>
    </w:p>
    <w:p w:rsidR="007B53D3" w:rsidRPr="00812356" w:rsidRDefault="007B53D3" w:rsidP="007B53D3">
      <w:pPr>
        <w:pStyle w:val="ListParagraph"/>
        <w:numPr>
          <w:ilvl w:val="0"/>
          <w:numId w:val="13"/>
        </w:numPr>
        <w:rPr>
          <w:b/>
          <w:sz w:val="28"/>
          <w:u w:val="single"/>
        </w:rPr>
      </w:pPr>
      <w:r>
        <w:t>Any support requirements needed from the school.</w:t>
      </w:r>
    </w:p>
    <w:p w:rsidR="007B53D3" w:rsidRDefault="007B53D3" w:rsidP="007B53D3">
      <w:r>
        <w:t>All requests will be given due consideration from the designated Careers Leader and Senior Leadership. Requests will be considered against:</w:t>
      </w:r>
    </w:p>
    <w:p w:rsidR="007B53D3" w:rsidRPr="00812356" w:rsidRDefault="007B53D3" w:rsidP="007B53D3">
      <w:pPr>
        <w:pStyle w:val="ListParagraph"/>
        <w:numPr>
          <w:ilvl w:val="0"/>
          <w:numId w:val="13"/>
        </w:numPr>
        <w:rPr>
          <w:b/>
          <w:sz w:val="28"/>
          <w:u w:val="single"/>
        </w:rPr>
      </w:pPr>
      <w:r>
        <w:t>Clashes with other planned activities or visits.</w:t>
      </w:r>
    </w:p>
    <w:p w:rsidR="007B53D3" w:rsidRPr="00812356" w:rsidRDefault="007B53D3" w:rsidP="007B53D3">
      <w:pPr>
        <w:pStyle w:val="ListParagraph"/>
        <w:numPr>
          <w:ilvl w:val="0"/>
          <w:numId w:val="13"/>
        </w:numPr>
        <w:rPr>
          <w:b/>
          <w:sz w:val="28"/>
          <w:u w:val="single"/>
        </w:rPr>
      </w:pPr>
      <w:r>
        <w:t>Interruption to preparation for public or internal examinations.</w:t>
      </w:r>
    </w:p>
    <w:p w:rsidR="007B53D3" w:rsidRPr="00812356" w:rsidRDefault="007B53D3" w:rsidP="007B53D3">
      <w:pPr>
        <w:pStyle w:val="ListParagraph"/>
        <w:numPr>
          <w:ilvl w:val="0"/>
          <w:numId w:val="13"/>
        </w:numPr>
        <w:rPr>
          <w:b/>
          <w:sz w:val="28"/>
          <w:u w:val="single"/>
        </w:rPr>
      </w:pPr>
      <w:r>
        <w:t>Availability of school staff, space and resources to host the session.</w:t>
      </w:r>
    </w:p>
    <w:p w:rsidR="007B53D3" w:rsidRDefault="007B53D3" w:rsidP="007B53D3">
      <w:r>
        <w:t>The Headteacher may refuse a request if it would be likely to be detrimental to the safety or wellbeing of students or staff, or if granting the request would be likely to bring the school into disrepute.</w:t>
      </w:r>
    </w:p>
    <w:p w:rsidR="007B53D3" w:rsidRDefault="007B53D3" w:rsidP="007B53D3">
      <w:r>
        <w:t>For questions on this policy statement or the wider CEAIG programme at St Antony’s Roman Catholic School, please do not hesitate to contact us.</w:t>
      </w:r>
    </w:p>
    <w:p w:rsidR="007B53D3" w:rsidRDefault="007B53D3" w:rsidP="007B53D3">
      <w:r>
        <w:t>Going forward, some of our plans to ensure we fully meet the requirements of the Baker Clause include:</w:t>
      </w:r>
    </w:p>
    <w:p w:rsidR="007B53D3" w:rsidRDefault="007B53D3" w:rsidP="007B53D3">
      <w:pPr>
        <w:pStyle w:val="ListParagraph"/>
        <w:numPr>
          <w:ilvl w:val="0"/>
          <w:numId w:val="14"/>
        </w:numPr>
      </w:pPr>
      <w:r>
        <w:t>Inviting various external providers into school for events such as: Working Skills Day, Careers Information Evening and Mock Interview Day.</w:t>
      </w:r>
    </w:p>
    <w:p w:rsidR="007B53D3" w:rsidRDefault="007B53D3" w:rsidP="007B53D3">
      <w:pPr>
        <w:pStyle w:val="ListParagraph"/>
        <w:numPr>
          <w:ilvl w:val="0"/>
          <w:numId w:val="14"/>
        </w:numPr>
      </w:pPr>
      <w:r>
        <w:t>Allowing educational/apprenticeship/training providers to present their provision to key cohorts of pupils.</w:t>
      </w:r>
    </w:p>
    <w:p w:rsidR="007B53D3" w:rsidRDefault="007B53D3" w:rsidP="007B53D3">
      <w:pPr>
        <w:pStyle w:val="ListParagraph"/>
        <w:numPr>
          <w:ilvl w:val="0"/>
          <w:numId w:val="14"/>
        </w:numPr>
      </w:pPr>
      <w:r>
        <w:t>Working with external providers to work with pupils within specific subject lessons.</w:t>
      </w:r>
    </w:p>
    <w:p w:rsidR="007B53D3" w:rsidRDefault="007B53D3" w:rsidP="007B53D3">
      <w:pPr>
        <w:pStyle w:val="ListParagraph"/>
        <w:numPr>
          <w:ilvl w:val="0"/>
          <w:numId w:val="14"/>
        </w:numPr>
      </w:pPr>
      <w:r>
        <w:t>Obtaining funding for an external provider to run our National Careers Week to ensure impartiality and various destinations are covered.</w:t>
      </w:r>
    </w:p>
    <w:p w:rsidR="007B53D3" w:rsidRDefault="007B53D3" w:rsidP="007B53D3">
      <w:pPr>
        <w:pStyle w:val="ListParagraph"/>
        <w:numPr>
          <w:ilvl w:val="0"/>
          <w:numId w:val="14"/>
        </w:numPr>
      </w:pPr>
      <w:r>
        <w:t>Working closely with GM Higher to ensure all pupils are aware of the options available to them in Higher Education, aside from the ‘traditional’ degree.</w:t>
      </w:r>
    </w:p>
    <w:p w:rsidR="007B53D3" w:rsidRDefault="007B53D3" w:rsidP="007B53D3">
      <w:r>
        <w:t>Listed below are some hyperlinks of available technical and vocational provision in the North West:</w:t>
      </w:r>
    </w:p>
    <w:p w:rsidR="007B53D3" w:rsidRPr="00F40C3F" w:rsidRDefault="007B53D3" w:rsidP="007B53D3">
      <w:hyperlink r:id="rId9" w:history="1">
        <w:r w:rsidRPr="00F40C3F">
          <w:rPr>
            <w:rStyle w:val="Hyperlink"/>
          </w:rPr>
          <w:t>News | The British Army (mod.uk)</w:t>
        </w:r>
      </w:hyperlink>
    </w:p>
    <w:p w:rsidR="007B53D3" w:rsidRPr="00F40C3F" w:rsidRDefault="007B53D3" w:rsidP="007B53D3">
      <w:pPr>
        <w:rPr>
          <w:u w:val="single"/>
        </w:rPr>
      </w:pPr>
      <w:hyperlink r:id="rId10" w:history="1">
        <w:r w:rsidRPr="00F40C3F">
          <w:rPr>
            <w:rStyle w:val="Hyperlink"/>
          </w:rPr>
          <w:t>https://www.talentfoundry.org.uk/Free-Resources/</w:t>
        </w:r>
      </w:hyperlink>
    </w:p>
    <w:p w:rsidR="007B53D3" w:rsidRPr="00F40C3F" w:rsidRDefault="007B53D3" w:rsidP="007B53D3">
      <w:hyperlink r:id="rId11" w:history="1">
        <w:r w:rsidRPr="00F40C3F">
          <w:rPr>
            <w:rStyle w:val="Hyperlink"/>
          </w:rPr>
          <w:t xml:space="preserve">NHS Ambassadors - Inspiring </w:t>
        </w:r>
        <w:proofErr w:type="gramStart"/>
        <w:r w:rsidRPr="00F40C3F">
          <w:rPr>
            <w:rStyle w:val="Hyperlink"/>
          </w:rPr>
          <w:t>The</w:t>
        </w:r>
        <w:proofErr w:type="gramEnd"/>
        <w:r w:rsidRPr="00F40C3F">
          <w:rPr>
            <w:rStyle w:val="Hyperlink"/>
          </w:rPr>
          <w:t xml:space="preserve"> Future</w:t>
        </w:r>
      </w:hyperlink>
    </w:p>
    <w:p w:rsidR="007B53D3" w:rsidRPr="00F40C3F" w:rsidRDefault="007B53D3" w:rsidP="007B53D3">
      <w:hyperlink r:id="rId12" w:history="1">
        <w:r w:rsidRPr="00F40C3F">
          <w:rPr>
            <w:rStyle w:val="Hyperlink"/>
          </w:rPr>
          <w:t xml:space="preserve">About - Inspiring </w:t>
        </w:r>
        <w:proofErr w:type="gramStart"/>
        <w:r w:rsidRPr="00F40C3F">
          <w:rPr>
            <w:rStyle w:val="Hyperlink"/>
          </w:rPr>
          <w:t>The</w:t>
        </w:r>
        <w:proofErr w:type="gramEnd"/>
        <w:r w:rsidRPr="00F40C3F">
          <w:rPr>
            <w:rStyle w:val="Hyperlink"/>
          </w:rPr>
          <w:t xml:space="preserve"> Future</w:t>
        </w:r>
      </w:hyperlink>
    </w:p>
    <w:p w:rsidR="007B53D3" w:rsidRPr="00F40C3F" w:rsidRDefault="007B53D3" w:rsidP="007B53D3">
      <w:hyperlink r:id="rId13" w:history="1">
        <w:r w:rsidRPr="00F40C3F">
          <w:rPr>
            <w:rStyle w:val="Hyperlink"/>
          </w:rPr>
          <w:t>Be an apprentice | Be More (be-more.info)</w:t>
        </w:r>
      </w:hyperlink>
    </w:p>
    <w:p w:rsidR="007B53D3" w:rsidRPr="00F40C3F" w:rsidRDefault="007B53D3" w:rsidP="007B53D3">
      <w:hyperlink r:id="rId14" w:history="1">
        <w:r w:rsidRPr="00F40C3F">
          <w:rPr>
            <w:rStyle w:val="Hyperlink"/>
          </w:rPr>
          <w:t>Apprentices (jaguarlandrovercareers.com)</w:t>
        </w:r>
      </w:hyperlink>
    </w:p>
    <w:p w:rsidR="007B53D3" w:rsidRPr="00812356" w:rsidRDefault="007B53D3" w:rsidP="007B53D3">
      <w:pPr>
        <w:rPr>
          <w:b/>
          <w:sz w:val="28"/>
          <w:u w:val="single"/>
        </w:rPr>
      </w:pPr>
    </w:p>
    <w:p w:rsidR="00C70D13" w:rsidRDefault="00C70D13" w:rsidP="007B53D3">
      <w:pPr>
        <w:pStyle w:val="Default"/>
        <w:rPr>
          <w:rFonts w:asciiTheme="majorHAnsi" w:hAnsiTheme="majorHAnsi"/>
        </w:rPr>
      </w:pPr>
    </w:p>
    <w:sectPr w:rsidR="00C70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D13" w:rsidRDefault="007B53D3">
      <w:pPr>
        <w:spacing w:after="0" w:line="240" w:lineRule="auto"/>
      </w:pPr>
      <w:r>
        <w:separator/>
      </w:r>
    </w:p>
  </w:endnote>
  <w:endnote w:type="continuationSeparator" w:id="0">
    <w:p w:rsidR="00C70D13" w:rsidRDefault="007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D13" w:rsidRDefault="007B53D3">
      <w:pPr>
        <w:spacing w:after="0" w:line="240" w:lineRule="auto"/>
      </w:pPr>
      <w:r>
        <w:separator/>
      </w:r>
    </w:p>
  </w:footnote>
  <w:footnote w:type="continuationSeparator" w:id="0">
    <w:p w:rsidR="00C70D13" w:rsidRDefault="007B5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FF3"/>
    <w:multiLevelType w:val="hybridMultilevel"/>
    <w:tmpl w:val="A5E6E264"/>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83E"/>
    <w:multiLevelType w:val="hybridMultilevel"/>
    <w:tmpl w:val="CE1C9A76"/>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431A"/>
    <w:multiLevelType w:val="hybridMultilevel"/>
    <w:tmpl w:val="DD384C24"/>
    <w:lvl w:ilvl="0" w:tplc="61DE0B98">
      <w:numFmt w:val="bullet"/>
      <w:lvlText w:val="•"/>
      <w:lvlJc w:val="left"/>
      <w:pPr>
        <w:ind w:left="720" w:hanging="360"/>
      </w:pPr>
      <w:rPr>
        <w:rFonts w:ascii="Calibri" w:eastAsiaTheme="minorHAnsi" w:hAnsi="Calibri" w:cs="Calibr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6E30"/>
    <w:multiLevelType w:val="hybridMultilevel"/>
    <w:tmpl w:val="F55A3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50E5D"/>
    <w:multiLevelType w:val="hybridMultilevel"/>
    <w:tmpl w:val="72A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A3A41"/>
    <w:multiLevelType w:val="hybridMultilevel"/>
    <w:tmpl w:val="3F28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83F26"/>
    <w:multiLevelType w:val="hybridMultilevel"/>
    <w:tmpl w:val="8A460C92"/>
    <w:lvl w:ilvl="0" w:tplc="47FC16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9B06F7"/>
    <w:multiLevelType w:val="hybridMultilevel"/>
    <w:tmpl w:val="BD283D6A"/>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951EA"/>
    <w:multiLevelType w:val="hybridMultilevel"/>
    <w:tmpl w:val="A532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B7895"/>
    <w:multiLevelType w:val="hybridMultilevel"/>
    <w:tmpl w:val="940AEE86"/>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42482"/>
    <w:multiLevelType w:val="hybridMultilevel"/>
    <w:tmpl w:val="97A0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D4EE3"/>
    <w:multiLevelType w:val="hybridMultilevel"/>
    <w:tmpl w:val="2702F282"/>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9026A"/>
    <w:multiLevelType w:val="hybridMultilevel"/>
    <w:tmpl w:val="A8567B74"/>
    <w:lvl w:ilvl="0" w:tplc="FEF0ED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22EC5"/>
    <w:multiLevelType w:val="hybridMultilevel"/>
    <w:tmpl w:val="0EC0208C"/>
    <w:lvl w:ilvl="0" w:tplc="61DE0B98">
      <w:numFmt w:val="bullet"/>
      <w:lvlText w:val="•"/>
      <w:lvlJc w:val="left"/>
      <w:pPr>
        <w:ind w:left="720" w:hanging="360"/>
      </w:pPr>
      <w:rPr>
        <w:rFonts w:ascii="Calibri" w:eastAsiaTheme="minorHAnsi" w:hAnsi="Calibri" w:cs="Calibr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1"/>
  </w:num>
  <w:num w:numId="6">
    <w:abstractNumId w:val="0"/>
  </w:num>
  <w:num w:numId="7">
    <w:abstractNumId w:val="12"/>
  </w:num>
  <w:num w:numId="8">
    <w:abstractNumId w:val="7"/>
  </w:num>
  <w:num w:numId="9">
    <w:abstractNumId w:val="5"/>
  </w:num>
  <w:num w:numId="10">
    <w:abstractNumId w:val="3"/>
  </w:num>
  <w:num w:numId="11">
    <w:abstractNumId w:val="10"/>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13"/>
    <w:rsid w:val="007B53D3"/>
    <w:rsid w:val="00C7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4178"/>
  <w15:chartTrackingRefBased/>
  <w15:docId w15:val="{A880A31C-8303-4326-AE59-190C9018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225" w:line="240" w:lineRule="auto"/>
    </w:pPr>
    <w:rPr>
      <w:rFonts w:ascii="Open Sans" w:eastAsia="Times New Roman" w:hAnsi="Open Sans" w:cs="Times New Roman"/>
      <w:sz w:val="23"/>
      <w:szCs w:val="23"/>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5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ddock@st-antonys.com" TargetMode="External"/><Relationship Id="rId13" Type="http://schemas.openxmlformats.org/officeDocument/2006/relationships/hyperlink" Target="https://be-more.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piringthefuture.org/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piringthefuture.org/nhs-ambassador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lentfoundry.org.uk/Free-Resources/" TargetMode="External"/><Relationship Id="rId4" Type="http://schemas.openxmlformats.org/officeDocument/2006/relationships/webSettings" Target="webSettings.xml"/><Relationship Id="rId9" Type="http://schemas.openxmlformats.org/officeDocument/2006/relationships/hyperlink" Target="https://www.army.mod.uk/news-and-events/news/?topics=Careers&amp;topics=Technology&amp;topics=Training&amp;ukRegions=England&amp;years=2021" TargetMode="External"/><Relationship Id="rId14" Type="http://schemas.openxmlformats.org/officeDocument/2006/relationships/hyperlink" Target="https://www.jaguarlandrovercareers.com/content/Appren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Ruddock Miss H</cp:lastModifiedBy>
  <cp:revision>2</cp:revision>
  <cp:lastPrinted>2018-04-23T16:22:00Z</cp:lastPrinted>
  <dcterms:created xsi:type="dcterms:W3CDTF">2022-12-01T11:27:00Z</dcterms:created>
  <dcterms:modified xsi:type="dcterms:W3CDTF">2022-12-01T11:27:00Z</dcterms:modified>
</cp:coreProperties>
</file>