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13065" w:type="dxa"/>
        <w:tblLayout w:type="fixed"/>
        <w:tblLook w:val="0400" w:firstRow="0" w:lastRow="0" w:firstColumn="0" w:lastColumn="0" w:noHBand="0" w:noVBand="1"/>
      </w:tblPr>
      <w:tblGrid>
        <w:gridCol w:w="495"/>
        <w:gridCol w:w="631"/>
        <w:gridCol w:w="1985"/>
        <w:gridCol w:w="1984"/>
        <w:gridCol w:w="1985"/>
        <w:gridCol w:w="1984"/>
        <w:gridCol w:w="1985"/>
        <w:gridCol w:w="2016"/>
      </w:tblGrid>
      <w:tr>
        <w:trPr>
          <w:trHeight w:val="60"/>
        </w:trPr>
        <w:tc>
          <w:tcPr>
            <w:tcW w:w="1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Autumn 1 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Autumn 2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Spring 1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Spring 2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Summer 2 </w:t>
            </w:r>
          </w:p>
        </w:tc>
      </w:tr>
      <w:tr>
        <w:trPr>
          <w:trHeight w:val="1230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Key Stage 3 </w:t>
            </w:r>
          </w:p>
        </w:tc>
        <w:tc>
          <w:tcPr>
            <w:tcW w:w="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Formal Elements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principles of Formal Elements exploring 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  <w:t>Shape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and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  <w:t>Line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  <w:t>Texture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evaluating progress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Artists references to: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Theme="majorHAnsi" w:eastAsia="Arial" w:hAnsiTheme="majorHAnsi" w:cstheme="majorHAnsi"/>
                <w:sz w:val="20"/>
                <w:szCs w:val="20"/>
              </w:rPr>
              <w:t>Gaminya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Formal Elements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principles of Formal Elements exploring 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and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Line 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  <w:u w:val="single"/>
              </w:rPr>
              <w:t>colour theory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evaluating progress</w:t>
            </w:r>
          </w:p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Formal Elements</w:t>
            </w:r>
          </w:p>
          <w:p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Sustained outcome combining learnt skills from the learnt formal elements and evaluating the project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Confectionary: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presentation and research skills through mood board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Developing tonal skills through observational studies of confectionary wrappers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Artist research page ‘Sarah Graham’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Looking at presentation skills and artists analysis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Confectionary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Learning about 3d forms and developing drawing skills from confectionary items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Developing tonal skills through the practice of pencil crayon in the application of applying to a range of 3d drawn sweets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16"/>
                <w:szCs w:val="16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Acrylic practice of sweets using colour mixing, looking at tints and shades</w:t>
            </w: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Confectionary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Final outcome of confectionary project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Developing a composition of sweets through 3D drawing and application of learnt tonal skills with pencil, pencil crayon and paint 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Evaluation of own project </w:t>
            </w:r>
          </w:p>
          <w:p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Natural Forms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Natural Forms </w:t>
            </w:r>
            <w:proofErr w:type="spellStart"/>
            <w:r>
              <w:rPr>
                <w:rFonts w:asciiTheme="majorHAnsi" w:eastAsia="Arial" w:hAnsiTheme="majorHAnsi" w:cstheme="majorHAnsi"/>
                <w:sz w:val="20"/>
                <w:szCs w:val="20"/>
              </w:rPr>
              <w:t>moodboard</w:t>
            </w:r>
            <w:proofErr w:type="spellEnd"/>
            <w:r>
              <w:rPr>
                <w:rFonts w:asciiTheme="majorHAnsi" w:eastAsia="Arial" w:hAnsiTheme="majorHAnsi" w:cstheme="majorHAnsi"/>
                <w:sz w:val="20"/>
                <w:szCs w:val="20"/>
              </w:rPr>
              <w:t>/ understanding key terms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Karl </w:t>
            </w:r>
            <w:proofErr w:type="spellStart"/>
            <w:r>
              <w:rPr>
                <w:rFonts w:asciiTheme="majorHAnsi" w:eastAsia="Arial" w:hAnsiTheme="majorHAnsi" w:cstheme="majorHAnsi"/>
                <w:sz w:val="20"/>
                <w:szCs w:val="20"/>
              </w:rPr>
              <w:t>Blossfeldt</w:t>
            </w:r>
            <w:proofErr w:type="spellEnd"/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introduction 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Presentation of research and artists analysis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Tonal Work in pencil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Natural Forms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Colour blending Georgia O’Keefe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Water colour outcome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(Georgia O’Keefe homework page)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Natural Forms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Sustained outcome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Implementing tone, pastel blending, mark making to create a Natural Forms detailed close up outcome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Portraiture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Introduction to portraiture exploring its origins and understanding famous artists links through research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Developing skill of facial features focusing on scale and tone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Portraiture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Research and analysis of artist Vince Low and developing continuous line drawing skills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Research into self-portraiture and photography used to develop self portraits </w:t>
            </w:r>
          </w:p>
          <w:p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Portraiture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Assessment phase 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Pupils to develop own self portrait focusing on formal elements of shape, line and tone through learnt skills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Evaluation of</w:t>
            </w:r>
            <w:r>
              <w:rPr>
                <w:rFonts w:asciiTheme="majorHAnsi" w:eastAsia="Arial" w:hAnsiTheme="majorHAnsi" w:cstheme="majorHAnsi"/>
                <w:sz w:val="16"/>
                <w:szCs w:val="16"/>
              </w:rPr>
              <w:t xml:space="preserve"> project and analysis of work 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Abstract</w:t>
            </w:r>
          </w:p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>Understanding term ‘abstract’ exploration of artists associated with the movement</w:t>
            </w:r>
          </w:p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>Developing skills tone, texture, mark making in reference to artist Kyle Henderson through</w:t>
            </w:r>
          </w:p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 xml:space="preserve">Artist Analysis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Abstract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Developing water colour blending skills and gradients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Exploration of artist Kandinsky 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Compositional drawing and application of learnt water colour skills to create inspired Kandinsky outcomes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Abstract</w:t>
            </w:r>
          </w:p>
          <w:p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Paper sculpture and research page Looking at developing Learnt skills of water colour and mark making focusing on shape, colour and texture to create a sculpted piece with reference to artist Kandinsky and Kyle Henderson</w:t>
            </w:r>
          </w:p>
          <w:p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Evaluation of project</w:t>
            </w:r>
          </w:p>
          <w:p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>
            <w:pPr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Architecture</w:t>
            </w:r>
          </w:p>
          <w:p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Moodboard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generated linked to the theme of Architecture Introduction into the theme of architecture</w:t>
            </w:r>
          </w:p>
          <w:p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2- and 3-point perspective drawings applying tone and pastels to make 3d forms </w:t>
            </w:r>
          </w:p>
          <w:p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Architecture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Exploration of collage and layering exploring artist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 xml:space="preserve">Emma Gale 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 xml:space="preserve">Minty Sainsbury inspired photograph works- Take inspiration from own photography to create </w:t>
            </w:r>
            <w:proofErr w:type="spellStart"/>
            <w:proofErr w:type="gram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 xml:space="preserve"> image in the style of Minty Sainsbury exploring formal elements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Using, shape, tone, mark making techniques</w:t>
            </w:r>
          </w:p>
          <w:p>
            <w:pPr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u w:val="single"/>
              </w:rPr>
              <w:t>Architecture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Water colour and illustration drawing explored by artist Lucinda Rogers 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Final outcome exploring learnt processes of collage, ink and water colour to create a mixed media final outcome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Evaluation of final project </w:t>
            </w:r>
          </w:p>
        </w:tc>
      </w:tr>
      <w:tr>
        <w:trPr>
          <w:trHeight w:val="2235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Key Stage 4</w:t>
            </w:r>
          </w:p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10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–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Manchester 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1 -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Manchester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1 -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Manchester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1 -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Manchester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proofErr w:type="spellStart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</w:t>
            </w:r>
            <w:proofErr w:type="spellEnd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proofErr w:type="spellStart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</w:t>
            </w:r>
            <w:proofErr w:type="spellEnd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</w:tr>
      <w:tr>
        <w:trPr>
          <w:trHeight w:val="1710"/>
        </w:trPr>
        <w:tc>
          <w:tcPr>
            <w:tcW w:w="495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002060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11</w:t>
            </w:r>
          </w:p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proofErr w:type="spellStart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</w:t>
            </w:r>
            <w:proofErr w:type="spellEnd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AO3 Reflective recording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lastRenderedPageBreak/>
              <w:t xml:space="preserve">GCSE Art, Craft &amp; Design: </w:t>
            </w:r>
            <w:proofErr w:type="spellStart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</w:t>
            </w:r>
            <w:proofErr w:type="spellEnd"/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AO3 Reflective recording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lastRenderedPageBreak/>
              <w:t>GCSE Art, Craft &amp; Design: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>Externally Set Task (EST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) 40%</w:t>
            </w:r>
          </w:p>
          <w:p>
            <w:pPr>
              <w:spacing w:after="0" w:line="240" w:lineRule="auto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GB"/>
              </w:rPr>
              <w:t>Pupils respond to an externally set task through AO1-AO4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 xml:space="preserve">Externally Set Task (EST) 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40%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 xml:space="preserve">Externally Set Task (EST) 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40%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Final </w:t>
            </w:r>
            <w:proofErr w:type="gramStart"/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10 hour</w:t>
            </w:r>
            <w:proofErr w:type="gramEnd"/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 assessment</w:t>
            </w:r>
          </w:p>
          <w:p>
            <w:pPr>
              <w:spacing w:after="0" w:line="240" w:lineRule="auto"/>
              <w:ind w:right="14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0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before="240" w:after="0"/>
              <w:ind w:left="140"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/>
    <w:p/>
    <w:p/>
    <w:sectPr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981200" cy="594995"/>
          <wp:effectExtent l="0" t="0" r="0" b="0"/>
          <wp:wrapTight wrapText="bothSides">
            <wp:wrapPolygon edited="0">
              <wp:start x="0" y="0"/>
              <wp:lineTo x="0" y="20747"/>
              <wp:lineTo x="21392" y="20747"/>
              <wp:lineTo x="21392" y="0"/>
              <wp:lineTo x="0" y="0"/>
            </wp:wrapPolygon>
          </wp:wrapTight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Subject: ART &amp; DESIGN 2023 - 2024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2137B36-FCAD-4ADE-B765-441C4D35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xcontentpasted3">
    <w:name w:val="x_contentpasted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Durham</dc:creator>
  <cp:keywords/>
  <dc:description/>
  <cp:lastModifiedBy>Rothwellka</cp:lastModifiedBy>
  <cp:revision>2</cp:revision>
  <cp:lastPrinted>2022-10-06T11:27:00Z</cp:lastPrinted>
  <dcterms:created xsi:type="dcterms:W3CDTF">2023-06-23T08:05:00Z</dcterms:created>
  <dcterms:modified xsi:type="dcterms:W3CDTF">2023-06-23T08:05:00Z</dcterms:modified>
</cp:coreProperties>
</file>