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bookmarkStart w:id="0" w:name="_GoBack"/>
      <w:bookmarkEnd w:id="0"/>
    </w:p>
    <w:tbl>
      <w:tblPr>
        <w:tblW w:w="0" w:type="auto"/>
        <w:tblLayout w:type="fixed"/>
        <w:tblLook w:val="0400" w:firstRow="0" w:lastRow="0" w:firstColumn="0" w:lastColumn="0" w:noHBand="0" w:noVBand="1"/>
      </w:tblPr>
      <w:tblGrid>
        <w:gridCol w:w="495"/>
        <w:gridCol w:w="675"/>
        <w:gridCol w:w="1830"/>
        <w:gridCol w:w="2025"/>
        <w:gridCol w:w="1980"/>
        <w:gridCol w:w="1935"/>
        <w:gridCol w:w="1995"/>
        <w:gridCol w:w="2130"/>
      </w:tblGrid>
      <w:tr>
        <w:trPr>
          <w:trHeight w:val="60"/>
        </w:trPr>
        <w:tc>
          <w:tcPr>
            <w:tcW w:w="11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2060"/>
          </w:tcPr>
          <w:p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2E74B5" w:themeFill="accent5" w:themeFillShade="BF"/>
          </w:tcPr>
          <w:p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 w:themeColor="background1"/>
                <w:lang w:val="en-GB"/>
              </w:rPr>
              <w:t xml:space="preserve">Autumn 1  </w:t>
            </w:r>
          </w:p>
        </w:tc>
        <w:tc>
          <w:tcPr>
            <w:tcW w:w="20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2060"/>
          </w:tcPr>
          <w:p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GB"/>
              </w:rPr>
              <w:t xml:space="preserve">Autumn 2  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2E74B5" w:themeFill="accent5" w:themeFillShade="BF"/>
          </w:tcPr>
          <w:p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 w:themeColor="background1"/>
                <w:lang w:val="en-GB"/>
              </w:rPr>
              <w:t xml:space="preserve">Spring 1 </w:t>
            </w: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2060"/>
          </w:tcPr>
          <w:p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GB"/>
              </w:rPr>
              <w:t xml:space="preserve">Spring 2 </w:t>
            </w:r>
          </w:p>
        </w:tc>
        <w:tc>
          <w:tcPr>
            <w:tcW w:w="19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2E74B5" w:themeFill="accent5" w:themeFillShade="BF"/>
          </w:tcPr>
          <w:p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 w:themeColor="background1"/>
                <w:lang w:val="en-GB"/>
              </w:rPr>
              <w:t>Summer 1</w:t>
            </w:r>
          </w:p>
        </w:tc>
        <w:tc>
          <w:tcPr>
            <w:tcW w:w="2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2060"/>
          </w:tcPr>
          <w:p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GB"/>
              </w:rPr>
              <w:t xml:space="preserve">Summer 2 </w:t>
            </w:r>
          </w:p>
        </w:tc>
      </w:tr>
      <w:tr>
        <w:trPr>
          <w:trHeight w:val="1230"/>
        </w:trPr>
        <w:tc>
          <w:tcPr>
            <w:tcW w:w="49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2E74B5" w:themeFill="accent5" w:themeFillShade="BF"/>
          </w:tcPr>
          <w:p>
            <w:pPr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lang w:val="en-GB"/>
              </w:rPr>
              <w:t xml:space="preserve">Key Stage 3 </w:t>
            </w:r>
          </w:p>
        </w:tc>
        <w:tc>
          <w:tcPr>
            <w:tcW w:w="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Year 7</w:t>
            </w:r>
          </w:p>
        </w:tc>
        <w:tc>
          <w:tcPr>
            <w:tcW w:w="18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The Normans and Conquest </w:t>
            </w:r>
          </w:p>
        </w:tc>
        <w:tc>
          <w:tcPr>
            <w:tcW w:w="20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spacing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  <w:t xml:space="preserve">Medieval England  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Medieval Europe and the impact of Empires</w:t>
            </w: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spacing w:after="0" w:line="240" w:lineRule="auto"/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</w:pPr>
          </w:p>
          <w:p>
            <w:pPr>
              <w:spacing w:after="0" w:line="240" w:lineRule="auto"/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</w:pPr>
          </w:p>
          <w:p>
            <w:pPr>
              <w:spacing w:after="0" w:line="240" w:lineRule="auto"/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  <w:t>Conflict and Tension in Medieval Europe</w:t>
            </w:r>
          </w:p>
        </w:tc>
        <w:tc>
          <w:tcPr>
            <w:tcW w:w="19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spacing w:after="0" w:line="240" w:lineRule="auto"/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</w:pPr>
          </w:p>
          <w:p>
            <w:pPr>
              <w:spacing w:after="0" w:line="240" w:lineRule="auto"/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</w:pPr>
          </w:p>
          <w:p>
            <w:pPr>
              <w:spacing w:after="0" w:line="240" w:lineRule="auto"/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  <w:t>Early 16</w:t>
            </w:r>
            <w:r>
              <w:rPr>
                <w:rFonts w:ascii="Arial" w:eastAsia="Arial" w:hAnsi="Arial" w:cs="Arial"/>
                <w:bCs/>
                <w:sz w:val="16"/>
                <w:szCs w:val="16"/>
                <w:vertAlign w:val="superscript"/>
                <w:lang w:val="en-GB"/>
              </w:rPr>
              <w:t>th</w:t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  <w:t xml:space="preserve"> Century Britain </w:t>
            </w:r>
          </w:p>
        </w:tc>
        <w:tc>
          <w:tcPr>
            <w:tcW w:w="2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Later 16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Century Britain</w:t>
            </w:r>
          </w:p>
        </w:tc>
      </w:tr>
      <w:tr>
        <w:trPr>
          <w:trHeight w:val="1164"/>
        </w:trPr>
        <w:tc>
          <w:tcPr>
            <w:tcW w:w="49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shd w:val="clear" w:color="auto" w:fill="2E74B5" w:themeFill="accent5" w:themeFillShade="BF"/>
            <w:vAlign w:val="center"/>
          </w:tcPr>
          <w:p/>
        </w:tc>
        <w:tc>
          <w:tcPr>
            <w:tcW w:w="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Year 8</w:t>
            </w:r>
          </w:p>
        </w:tc>
        <w:tc>
          <w:tcPr>
            <w:tcW w:w="18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Early Stuart England </w:t>
            </w:r>
          </w:p>
        </w:tc>
        <w:tc>
          <w:tcPr>
            <w:tcW w:w="20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Later Stuart England 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Empires of the Wider World</w:t>
            </w: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Life after the Atlantic Slave Trade </w:t>
            </w:r>
          </w:p>
        </w:tc>
        <w:tc>
          <w:tcPr>
            <w:tcW w:w="19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Industry in the 19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Century </w:t>
            </w:r>
          </w:p>
        </w:tc>
        <w:tc>
          <w:tcPr>
            <w:tcW w:w="2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Britain and the Wider World in the 19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Century </w:t>
            </w:r>
          </w:p>
        </w:tc>
      </w:tr>
      <w:tr>
        <w:trPr>
          <w:trHeight w:val="1230"/>
        </w:trPr>
        <w:tc>
          <w:tcPr>
            <w:tcW w:w="495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2E74B5" w:themeFill="accent5" w:themeFillShade="BF"/>
            <w:vAlign w:val="center"/>
          </w:tcPr>
          <w:p/>
        </w:tc>
        <w:tc>
          <w:tcPr>
            <w:tcW w:w="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Year 9</w:t>
            </w:r>
          </w:p>
        </w:tc>
        <w:tc>
          <w:tcPr>
            <w:tcW w:w="18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The Great War </w:t>
            </w:r>
          </w:p>
        </w:tc>
        <w:tc>
          <w:tcPr>
            <w:tcW w:w="20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The Interwar Years 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The Road to the Second World War </w:t>
            </w:r>
          </w:p>
          <w:p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The Second World War and the Holocaust </w:t>
            </w:r>
          </w:p>
        </w:tc>
        <w:tc>
          <w:tcPr>
            <w:tcW w:w="19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</w:pPr>
          </w:p>
          <w:p>
            <w:pPr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  <w:t>The Impact of the Second World War</w:t>
            </w:r>
          </w:p>
        </w:tc>
        <w:tc>
          <w:tcPr>
            <w:tcW w:w="2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Modern Britain and the Wider World </w:t>
            </w:r>
          </w:p>
        </w:tc>
      </w:tr>
      <w:tr>
        <w:trPr>
          <w:trHeight w:val="55"/>
        </w:trPr>
        <w:tc>
          <w:tcPr>
            <w:tcW w:w="49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2060"/>
          </w:tcPr>
          <w:p>
            <w:pPr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lang w:val="en-GB"/>
              </w:rPr>
              <w:t>Key Stage 4</w:t>
            </w:r>
          </w:p>
          <w:p>
            <w:pPr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lang w:val="en-GB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Year 10</w:t>
            </w:r>
          </w:p>
        </w:tc>
        <w:tc>
          <w:tcPr>
            <w:tcW w:w="18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spacing w:before="240" w:after="240" w:line="240" w:lineRule="auto"/>
              <w:ind w:left="140" w:righ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Medicine in Britain – Edexcel </w:t>
            </w:r>
          </w:p>
        </w:tc>
        <w:tc>
          <w:tcPr>
            <w:tcW w:w="20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spacing w:before="240" w:after="240" w:line="240" w:lineRule="auto"/>
              <w:ind w:left="140" w:righ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Medicine in Britain – Edexcel 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spacing w:before="240" w:after="240" w:line="240" w:lineRule="auto"/>
              <w:ind w:right="140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Medicine in Britain – Edexcel </w:t>
            </w: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spacing w:before="240" w:after="240" w:line="240" w:lineRule="auto"/>
              <w:ind w:left="140" w:righ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Weimar and Nazi Germany - Edexcel</w:t>
            </w:r>
          </w:p>
        </w:tc>
        <w:tc>
          <w:tcPr>
            <w:tcW w:w="19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spacing w:before="240" w:after="240" w:line="240" w:lineRule="auto"/>
              <w:ind w:left="140" w:right="140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Weimar and Nazi Germany - Edexcel</w:t>
            </w:r>
          </w:p>
        </w:tc>
        <w:tc>
          <w:tcPr>
            <w:tcW w:w="2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spacing w:before="240" w:after="240" w:line="240" w:lineRule="auto"/>
              <w:ind w:left="140" w:righ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Weimar and Nazi Germany – Edexcel </w:t>
            </w:r>
          </w:p>
        </w:tc>
      </w:tr>
      <w:tr>
        <w:trPr>
          <w:trHeight w:val="1735"/>
        </w:trPr>
        <w:tc>
          <w:tcPr>
            <w:tcW w:w="495" w:type="dxa"/>
            <w:vMerge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002060"/>
            <w:vAlign w:val="center"/>
          </w:tcPr>
          <w:p/>
        </w:tc>
        <w:tc>
          <w:tcPr>
            <w:tcW w:w="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Year 11</w:t>
            </w:r>
          </w:p>
          <w:p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</w:pPr>
          </w:p>
          <w:p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8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spacing w:before="240" w:after="240"/>
              <w:ind w:left="140" w:right="140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  <w:t xml:space="preserve">Superpower Relations and the Cold War – Edexcel </w:t>
            </w:r>
          </w:p>
        </w:tc>
        <w:tc>
          <w:tcPr>
            <w:tcW w:w="20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spacing w:before="240" w:after="240"/>
              <w:ind w:left="140" w:right="140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  <w:t>Superpower Relations and the Cold War – Edexcel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spacing w:before="240" w:after="240"/>
              <w:ind w:right="-113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  <w:t>Early Elizabeth England – Edexcel</w:t>
            </w: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spacing w:before="240" w:after="240"/>
              <w:ind w:left="140" w:right="140" w:hanging="140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  <w:t>Early Elizabeth England – Edexcel</w:t>
            </w:r>
          </w:p>
        </w:tc>
        <w:tc>
          <w:tcPr>
            <w:tcW w:w="19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>
            <w:pPr>
              <w:spacing w:before="240" w:after="240"/>
              <w:ind w:right="140"/>
              <w:jc w:val="center"/>
              <w:rPr>
                <w:rFonts w:ascii="Arial" w:eastAsia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2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>
            <w:pPr>
              <w:spacing w:before="240" w:after="240"/>
              <w:ind w:left="140" w:right="1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/>
    <w:sectPr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-190500</wp:posOffset>
          </wp:positionV>
          <wp:extent cx="1981200" cy="594995"/>
          <wp:effectExtent l="0" t="0" r="0" b="0"/>
          <wp:wrapTight wrapText="bothSides">
            <wp:wrapPolygon edited="0">
              <wp:start x="0" y="0"/>
              <wp:lineTo x="0" y="20747"/>
              <wp:lineTo x="21392" y="20747"/>
              <wp:lineTo x="21392" y="0"/>
              <wp:lineTo x="0" y="0"/>
            </wp:wrapPolygon>
          </wp:wrapTight>
          <wp:docPr id="6" name="Picture 6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Graphical user interfac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Subject: History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52137B36-FCAD-4ADE-B765-441C4D35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 Durham</dc:creator>
  <cp:keywords/>
  <dc:description/>
  <cp:lastModifiedBy>Rothwellka</cp:lastModifiedBy>
  <cp:revision>2</cp:revision>
  <cp:lastPrinted>2022-10-04T12:57:00Z</cp:lastPrinted>
  <dcterms:created xsi:type="dcterms:W3CDTF">2023-09-20T07:27:00Z</dcterms:created>
  <dcterms:modified xsi:type="dcterms:W3CDTF">2023-09-20T07:27:00Z</dcterms:modified>
</cp:coreProperties>
</file>