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W w:w="13175" w:type="dxa"/>
        <w:tblLayout w:type="fixed"/>
        <w:tblLook w:val="0400" w:firstRow="0" w:lastRow="0" w:firstColumn="0" w:lastColumn="0" w:noHBand="0" w:noVBand="1"/>
      </w:tblPr>
      <w:tblGrid>
        <w:gridCol w:w="495"/>
        <w:gridCol w:w="631"/>
        <w:gridCol w:w="2008"/>
        <w:gridCol w:w="686"/>
        <w:gridCol w:w="1322"/>
        <w:gridCol w:w="1513"/>
        <w:gridCol w:w="495"/>
        <w:gridCol w:w="2008"/>
        <w:gridCol w:w="332"/>
        <w:gridCol w:w="1676"/>
        <w:gridCol w:w="2009"/>
      </w:tblGrid>
      <w:tr>
        <w:trPr>
          <w:trHeight w:val="60"/>
        </w:trPr>
        <w:tc>
          <w:tcPr>
            <w:tcW w:w="112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 w:themeFill="accent5" w:themeFillShade="BF"/>
          </w:tcPr>
          <w:p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 w:themeColor="background1"/>
                <w:lang w:val="en-GB"/>
              </w:rPr>
              <w:t xml:space="preserve">Product Design  </w:t>
            </w:r>
          </w:p>
        </w:tc>
        <w:tc>
          <w:tcPr>
            <w:tcW w:w="28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GB"/>
              </w:rPr>
              <w:t>Textiles</w:t>
            </w:r>
          </w:p>
        </w:tc>
        <w:tc>
          <w:tcPr>
            <w:tcW w:w="2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 w:themeFill="accent5" w:themeFillShade="BF"/>
          </w:tcPr>
          <w:p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 w:themeColor="background1"/>
                <w:lang w:val="en-GB"/>
              </w:rPr>
              <w:t xml:space="preserve">Food &amp; Nutrition </w:t>
            </w:r>
          </w:p>
        </w:tc>
        <w:tc>
          <w:tcPr>
            <w:tcW w:w="36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3D Design </w:t>
            </w:r>
          </w:p>
        </w:tc>
      </w:tr>
      <w:tr>
        <w:trPr>
          <w:trHeight w:val="297"/>
        </w:trPr>
        <w:tc>
          <w:tcPr>
            <w:tcW w:w="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 w:themeFill="accent5" w:themeFillShade="BF"/>
          </w:tcPr>
          <w:p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  <w:tc>
          <w:tcPr>
            <w:tcW w:w="63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Year 7</w:t>
            </w:r>
          </w:p>
        </w:tc>
        <w:tc>
          <w:tcPr>
            <w:tcW w:w="12049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i/>
                <w:sz w:val="20"/>
                <w:szCs w:val="20"/>
              </w:rPr>
              <w:t>14 lesson rotation</w:t>
            </w: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. </w:t>
            </w:r>
          </w:p>
        </w:tc>
      </w:tr>
      <w:tr>
        <w:trPr>
          <w:trHeight w:val="1230"/>
        </w:trPr>
        <w:tc>
          <w:tcPr>
            <w:tcW w:w="49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 w:themeFill="accent5" w:themeFillShade="BF"/>
          </w:tcPr>
          <w:p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n-GB"/>
              </w:rPr>
              <w:t xml:space="preserve">Key Stage 3 </w:t>
            </w:r>
          </w:p>
        </w:tc>
        <w:tc>
          <w:tcPr>
            <w:tcW w:w="631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Environmental impact design. 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Design a floating device to be used to help during flooding.</w:t>
            </w:r>
          </w:p>
        </w:tc>
        <w:tc>
          <w:tcPr>
            <w:tcW w:w="28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shd w:val="clear" w:color="auto" w:fill="FFFFFF"/>
              </w:rPr>
              <w:t>Sea pollution &amp; microplastics.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Construction and manufacturing of fabrics.</w:t>
            </w: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hd w:val="clear" w:color="auto" w:fill="FFFFFF"/>
              <w:spacing w:after="75" w:line="240" w:lineRule="auto"/>
              <w:rPr>
                <w:rFonts w:asciiTheme="majorHAnsi" w:eastAsia="Times New Roman" w:hAnsiTheme="majorHAnsi" w:cstheme="majorHAnsi"/>
                <w:b/>
                <w:color w:val="0B0C0C"/>
                <w:sz w:val="20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B0C0C"/>
                <w:sz w:val="20"/>
                <w:szCs w:val="24"/>
                <w:lang w:val="en-GB" w:eastAsia="en-GB"/>
              </w:rPr>
              <w:t>Food and flavouring</w:t>
            </w:r>
          </w:p>
          <w:p>
            <w:pPr>
              <w:shd w:val="clear" w:color="auto" w:fill="FFFFFF"/>
              <w:spacing w:after="75" w:line="240" w:lineRule="auto"/>
              <w:rPr>
                <w:rFonts w:asciiTheme="majorHAnsi" w:eastAsia="Times New Roman" w:hAnsiTheme="majorHAnsi" w:cstheme="majorHAnsi"/>
                <w:color w:val="0B0C0C"/>
                <w:sz w:val="20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B0C0C"/>
                <w:sz w:val="20"/>
                <w:szCs w:val="24"/>
                <w:lang w:val="en-GB" w:eastAsia="en-GB"/>
              </w:rPr>
              <w:t>Understand and apply the principles of nutrition and health</w:t>
            </w:r>
          </w:p>
          <w:p>
            <w:pPr>
              <w:shd w:val="clear" w:color="auto" w:fill="FFFFFF"/>
              <w:spacing w:after="75" w:line="240" w:lineRule="auto"/>
              <w:rPr>
                <w:rFonts w:asciiTheme="majorHAnsi" w:eastAsia="Times New Roman" w:hAnsiTheme="majorHAnsi" w:cstheme="majorHAnsi"/>
                <w:color w:val="0B0C0C"/>
                <w:sz w:val="20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B0C0C"/>
                <w:sz w:val="20"/>
                <w:szCs w:val="24"/>
                <w:lang w:val="en-GB" w:eastAsia="en-GB"/>
              </w:rPr>
              <w:t>Cultural dishes cooked in Year 7: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ajorHAnsi" w:eastAsia="Arial" w:hAnsiTheme="majorHAnsi" w:cstheme="majorHAnsi"/>
                <w:sz w:val="20"/>
                <w:szCs w:val="16"/>
              </w:rPr>
            </w:pPr>
            <w:r>
              <w:rPr>
                <w:rFonts w:asciiTheme="majorHAnsi" w:eastAsia="Arial" w:hAnsiTheme="majorHAnsi" w:cstheme="majorHAnsi"/>
                <w:sz w:val="20"/>
                <w:szCs w:val="16"/>
              </w:rPr>
              <w:t>Spring Rolls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ajorHAnsi" w:eastAsia="Arial" w:hAnsiTheme="majorHAnsi" w:cstheme="majorHAnsi"/>
                <w:sz w:val="20"/>
                <w:szCs w:val="16"/>
              </w:rPr>
            </w:pPr>
            <w:r>
              <w:rPr>
                <w:rFonts w:asciiTheme="majorHAnsi" w:eastAsia="Arial" w:hAnsiTheme="majorHAnsi" w:cstheme="majorHAnsi"/>
                <w:sz w:val="20"/>
                <w:szCs w:val="16"/>
              </w:rPr>
              <w:t>Samosa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ajorHAnsi" w:eastAsia="Arial" w:hAnsiTheme="majorHAnsi" w:cstheme="majorHAnsi"/>
                <w:sz w:val="20"/>
                <w:szCs w:val="16"/>
              </w:rPr>
            </w:pPr>
            <w:r>
              <w:rPr>
                <w:rFonts w:asciiTheme="majorHAnsi" w:eastAsia="Arial" w:hAnsiTheme="majorHAnsi" w:cstheme="majorHAnsi"/>
                <w:sz w:val="20"/>
                <w:szCs w:val="16"/>
              </w:rPr>
              <w:t>Jerk Chicken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shd w:val="clear" w:color="auto" w:fill="FFFFFF"/>
              </w:rPr>
              <w:t>Bauhaus Stationary Holder Project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Create a range of designs for a stationary holder inspired by the Bauhaus design movement. Construct a final design using plywood. 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</w:p>
          <w:p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>
        <w:trPr>
          <w:trHeight w:val="279"/>
        </w:trPr>
        <w:tc>
          <w:tcPr>
            <w:tcW w:w="49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shd w:val="clear" w:color="auto" w:fill="2E74B5" w:themeFill="accent5" w:themeFillShade="BF"/>
            <w:vAlign w:val="center"/>
          </w:tcPr>
          <w:p>
            <w:pPr>
              <w:spacing w:after="0"/>
            </w:pPr>
          </w:p>
        </w:tc>
        <w:tc>
          <w:tcPr>
            <w:tcW w:w="63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Year 8</w:t>
            </w:r>
          </w:p>
        </w:tc>
        <w:tc>
          <w:tcPr>
            <w:tcW w:w="12049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Theme="majorHAnsi" w:eastAsia="Arial" w:hAnsiTheme="majorHAnsi" w:cstheme="majorHAnsi"/>
                <w:i/>
                <w:sz w:val="20"/>
                <w:szCs w:val="20"/>
              </w:rPr>
              <w:t>14 lesson rotation</w:t>
            </w: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. </w:t>
            </w:r>
          </w:p>
        </w:tc>
      </w:tr>
      <w:tr>
        <w:trPr>
          <w:trHeight w:val="1230"/>
        </w:trPr>
        <w:tc>
          <w:tcPr>
            <w:tcW w:w="49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shd w:val="clear" w:color="auto" w:fill="2E74B5" w:themeFill="accent5" w:themeFillShade="BF"/>
            <w:vAlign w:val="center"/>
          </w:tcPr>
          <w:p>
            <w:pPr>
              <w:spacing w:after="0"/>
            </w:pPr>
          </w:p>
        </w:tc>
        <w:tc>
          <w:tcPr>
            <w:tcW w:w="631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Arial" w:hAnsi="Calibri Light" w:cs="Calibri Light"/>
                <w:b/>
                <w:sz w:val="20"/>
                <w:szCs w:val="20"/>
              </w:rPr>
              <w:t>Product Design:</w:t>
            </w:r>
          </w:p>
          <w:p>
            <w:pPr>
              <w:spacing w:after="0" w:line="240" w:lineRule="auto"/>
              <w:rPr>
                <w:rFonts w:ascii="Calibri Light" w:eastAsia="Arial" w:hAnsi="Calibri Light" w:cs="Calibri Light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  <w:t>‘Crumble’ – programmable components.</w:t>
            </w:r>
          </w:p>
        </w:tc>
        <w:tc>
          <w:tcPr>
            <w:tcW w:w="28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Arial" w:hAnsi="Calibri Light" w:cs="Calibri Light"/>
                <w:b/>
                <w:sz w:val="20"/>
                <w:szCs w:val="20"/>
              </w:rPr>
              <w:t>Textiles – surface patterns</w:t>
            </w:r>
          </w:p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</w:p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</w:rPr>
              <w:t>Mexican-inspired screen printing</w:t>
            </w:r>
          </w:p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hd w:val="clear" w:color="auto" w:fill="FFFFFF"/>
              <w:spacing w:after="75" w:line="240" w:lineRule="auto"/>
              <w:rPr>
                <w:rFonts w:asciiTheme="majorHAnsi" w:eastAsia="Times New Roman" w:hAnsiTheme="majorHAnsi" w:cstheme="majorHAnsi"/>
                <w:b/>
                <w:color w:val="0B0C0C"/>
                <w:sz w:val="20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B0C0C"/>
                <w:sz w:val="20"/>
                <w:szCs w:val="24"/>
                <w:lang w:val="en-GB" w:eastAsia="en-GB"/>
              </w:rPr>
              <w:t>Food and nutrition – Pastry</w:t>
            </w:r>
          </w:p>
          <w:p>
            <w:pPr>
              <w:shd w:val="clear" w:color="auto" w:fill="FFFFFF"/>
              <w:spacing w:after="75" w:line="240" w:lineRule="auto"/>
              <w:rPr>
                <w:rFonts w:asciiTheme="majorHAnsi" w:eastAsia="Times New Roman" w:hAnsiTheme="majorHAnsi" w:cstheme="majorHAnsi"/>
                <w:color w:val="0B0C0C"/>
                <w:sz w:val="20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B0C0C"/>
                <w:sz w:val="20"/>
                <w:szCs w:val="24"/>
                <w:lang w:val="en-GB" w:eastAsia="en-GB"/>
              </w:rPr>
              <w:t>Understand and apply the principles of nutrition and health</w:t>
            </w:r>
          </w:p>
          <w:p>
            <w:pPr>
              <w:shd w:val="clear" w:color="auto" w:fill="FFFFFF"/>
              <w:spacing w:after="75" w:line="240" w:lineRule="auto"/>
              <w:rPr>
                <w:rFonts w:asciiTheme="majorHAnsi" w:eastAsia="Times New Roman" w:hAnsiTheme="majorHAnsi" w:cstheme="majorHAnsi"/>
                <w:color w:val="0B0C0C"/>
                <w:sz w:val="20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B0C0C"/>
                <w:sz w:val="20"/>
                <w:szCs w:val="24"/>
                <w:lang w:val="en-GB" w:eastAsia="en-GB"/>
              </w:rPr>
              <w:t>Pastry dishes cooked in Year 8: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</w:rPr>
              <w:t>Chocolate tart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</w:rPr>
              <w:t>Pastry boxes</w:t>
            </w:r>
          </w:p>
          <w:p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</w:rPr>
              <w:t>Quiche</w:t>
            </w:r>
          </w:p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  <w:p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shd w:val="clear" w:color="auto" w:fill="FFFFFF"/>
              </w:rPr>
              <w:t>USB Art Deco light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 xml:space="preserve">Using the study of Art Deco Architecture as a starting point, design and make a USB lamp 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</w:p>
          <w:p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>
        <w:trPr>
          <w:trHeight w:val="372"/>
        </w:trPr>
        <w:tc>
          <w:tcPr>
            <w:tcW w:w="49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2E74B5" w:themeFill="accent5" w:themeFillShade="BF"/>
            <w:vAlign w:val="center"/>
          </w:tcPr>
          <w:p>
            <w:pPr>
              <w:spacing w:after="0"/>
            </w:pPr>
          </w:p>
        </w:tc>
        <w:tc>
          <w:tcPr>
            <w:tcW w:w="63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Year 9</w:t>
            </w:r>
          </w:p>
        </w:tc>
        <w:tc>
          <w:tcPr>
            <w:tcW w:w="12049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i/>
                <w:sz w:val="20"/>
                <w:szCs w:val="20"/>
              </w:rPr>
              <w:t>14 lesson rotation</w:t>
            </w:r>
            <w:r>
              <w:rPr>
                <w:rFonts w:asciiTheme="majorHAnsi" w:eastAsia="Arial" w:hAnsiTheme="majorHAnsi" w:cstheme="majorHAnsi"/>
                <w:sz w:val="20"/>
                <w:szCs w:val="20"/>
              </w:rPr>
              <w:t>. Overarching theme for Year 9 –</w:t>
            </w:r>
            <w:r>
              <w:rPr>
                <w:rFonts w:ascii="Calibri Light" w:eastAsia="Arial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</w:rPr>
              <w:t>Designers and careers in Design &amp; Technology</w:t>
            </w:r>
          </w:p>
        </w:tc>
      </w:tr>
      <w:tr>
        <w:trPr>
          <w:trHeight w:val="1230"/>
        </w:trPr>
        <w:tc>
          <w:tcPr>
            <w:tcW w:w="49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2E74B5" w:themeFill="accent5" w:themeFillShade="BF"/>
            <w:vAlign w:val="center"/>
          </w:tcPr>
          <w:p>
            <w:pPr>
              <w:spacing w:after="0"/>
            </w:pPr>
          </w:p>
        </w:tc>
        <w:tc>
          <w:tcPr>
            <w:tcW w:w="631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Recycling &amp; Product Design</w:t>
            </w:r>
          </w:p>
          <w:p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Create a new product using recycled plastics as a basis.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Thermochromic materials &amp; biomimicry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Develop an understanding of thermochromic pigments and biomimicry in Textile Design</w:t>
            </w:r>
          </w:p>
        </w:tc>
        <w:tc>
          <w:tcPr>
            <w:tcW w:w="2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hd w:val="clear" w:color="auto" w:fill="FFFFFF"/>
              <w:spacing w:after="75" w:line="240" w:lineRule="auto"/>
              <w:rPr>
                <w:rFonts w:asciiTheme="majorHAnsi" w:eastAsia="Times New Roman" w:hAnsiTheme="majorHAnsi" w:cstheme="majorHAnsi"/>
                <w:b/>
                <w:color w:val="0B0C0C"/>
                <w:sz w:val="20"/>
                <w:szCs w:val="2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B0C0C"/>
                <w:sz w:val="20"/>
                <w:szCs w:val="20"/>
                <w:lang w:val="en-GB" w:eastAsia="en-GB"/>
              </w:rPr>
              <w:t>Food and nutrition – Pies</w:t>
            </w:r>
          </w:p>
          <w:p>
            <w:pPr>
              <w:shd w:val="clear" w:color="auto" w:fill="FFFFFF"/>
              <w:spacing w:after="75" w:line="240" w:lineRule="auto"/>
              <w:rPr>
                <w:rFonts w:asciiTheme="majorHAnsi" w:eastAsia="Times New Roman" w:hAnsiTheme="majorHAnsi" w:cstheme="majorHAnsi"/>
                <w:color w:val="0B0C0C"/>
                <w:sz w:val="20"/>
                <w:szCs w:val="2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B0C0C"/>
                <w:sz w:val="20"/>
                <w:szCs w:val="20"/>
                <w:lang w:val="en-GB" w:eastAsia="en-GB"/>
              </w:rPr>
              <w:t>Understand and apply the principles of nutrition and health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B0C0C"/>
                <w:sz w:val="20"/>
                <w:szCs w:val="20"/>
                <w:lang w:val="en-GB" w:eastAsia="en-GB"/>
              </w:rPr>
              <w:t>Pastry dishes cooked in Year 9: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Cottage pie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>Pastry pie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lastRenderedPageBreak/>
              <w:t>Adapted pie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Chair Design</w:t>
            </w:r>
          </w:p>
          <w:p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Analyse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the work of past and present designers as the basis of developing creative design ideas.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develop and communicate design ideas using annotated sketches, detailed plans,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3-D and mathematical modelling, oral and digital presentations and computer-based tools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identify and solve their own design problems and understand how to reformulate problems given to them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develop specifications to inform the design of innovative, functional, appealing products that respond to needs in a variety of situations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  <w:p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understand and use the properties of materials and the performance of structural elements to achieve functioning solutions</w:t>
            </w:r>
          </w:p>
        </w:tc>
      </w:tr>
      <w:tr>
        <w:trPr>
          <w:trHeight w:val="448"/>
        </w:trPr>
        <w:tc>
          <w:tcPr>
            <w:tcW w:w="49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n-GB"/>
              </w:rPr>
              <w:lastRenderedPageBreak/>
              <w:t>Key Stage 4</w:t>
            </w:r>
          </w:p>
          <w:p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lang w:val="en-GB"/>
              </w:rPr>
              <w:t xml:space="preserve"> </w:t>
            </w:r>
          </w:p>
        </w:tc>
        <w:tc>
          <w:tcPr>
            <w:tcW w:w="63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 xml:space="preserve">Year 10 </w:t>
            </w:r>
          </w:p>
        </w:tc>
        <w:tc>
          <w:tcPr>
            <w:tcW w:w="20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spacing w:after="0" w:line="240" w:lineRule="auto"/>
              <w:jc w:val="center"/>
              <w:rPr>
                <w:rFonts w:ascii="Calibri Light" w:eastAsia="Arial" w:hAnsi="Calibri Light" w:cs="Calibri Ligh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Autumn 1</w:t>
            </w: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70C0"/>
          </w:tcPr>
          <w:p>
            <w:pPr>
              <w:spacing w:after="0" w:line="240" w:lineRule="auto"/>
              <w:jc w:val="center"/>
              <w:rPr>
                <w:rFonts w:ascii="Calibri Light" w:eastAsia="Arial" w:hAnsi="Calibri Light" w:cs="Calibri Ligh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Autumn 2</w:t>
            </w: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spacing w:after="0" w:line="240" w:lineRule="auto"/>
              <w:jc w:val="center"/>
              <w:rPr>
                <w:rFonts w:ascii="Calibri Light" w:eastAsia="Arial" w:hAnsi="Calibri Light" w:cs="Calibri Ligh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Spring 1</w:t>
            </w:r>
          </w:p>
        </w:tc>
        <w:tc>
          <w:tcPr>
            <w:tcW w:w="20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70C0"/>
          </w:tcPr>
          <w:p>
            <w:pPr>
              <w:spacing w:after="0" w:line="240" w:lineRule="auto"/>
              <w:jc w:val="center"/>
              <w:rPr>
                <w:rFonts w:ascii="Calibri Light" w:eastAsia="Arial" w:hAnsi="Calibri Light" w:cs="Calibri Ligh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Spring 2</w:t>
            </w: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spacing w:after="0" w:line="240" w:lineRule="auto"/>
              <w:jc w:val="center"/>
              <w:rPr>
                <w:rFonts w:ascii="Calibri Light" w:eastAsia="Arial" w:hAnsi="Calibri Light" w:cs="Calibri Ligh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Summer 1</w:t>
            </w:r>
          </w:p>
        </w:tc>
        <w:tc>
          <w:tcPr>
            <w:tcW w:w="20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70C0"/>
          </w:tcPr>
          <w:p>
            <w:pPr>
              <w:spacing w:after="0" w:line="240" w:lineRule="auto"/>
              <w:jc w:val="center"/>
              <w:rPr>
                <w:rFonts w:ascii="Calibri Light" w:eastAsia="Arial" w:hAnsi="Calibri Light" w:cs="Calibri Ligh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Summer 2</w:t>
            </w:r>
          </w:p>
        </w:tc>
      </w:tr>
      <w:tr>
        <w:trPr>
          <w:trHeight w:val="1120"/>
        </w:trPr>
        <w:tc>
          <w:tcPr>
            <w:tcW w:w="49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  <w:tc>
          <w:tcPr>
            <w:tcW w:w="631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 xml:space="preserve">GCSE Art, Craft &amp; Design: Project 1 –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u w:val="single"/>
              </w:rPr>
              <w:t xml:space="preserve">My Surroundings 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AO1 Critical understanding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AO2 Creative making</w:t>
            </w:r>
          </w:p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AO3 Reflective recording</w:t>
            </w: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 xml:space="preserve">GCSE Art, Craft &amp; Design: Project 1 –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u w:val="single"/>
              </w:rPr>
              <w:t>My Surroundings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AO1 Critical understanding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AO2 Creative making</w:t>
            </w:r>
          </w:p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AO3 Reflective recording</w:t>
            </w: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 xml:space="preserve">GCSE Art, Craft &amp; Design: Project 1 –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u w:val="single"/>
              </w:rPr>
              <w:t>My Surroundings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AO1 Critical understanding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AO2 Creative making</w:t>
            </w:r>
          </w:p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AO3 Reflective recording</w:t>
            </w:r>
          </w:p>
        </w:tc>
        <w:tc>
          <w:tcPr>
            <w:tcW w:w="20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 xml:space="preserve">GCSE Art, Craft &amp; Design: Project 1 –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u w:val="single"/>
              </w:rPr>
              <w:t>My Surroundings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AO1 Critical understanding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AO2 Creative making</w:t>
            </w:r>
          </w:p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AO3 Reflective recording</w:t>
            </w: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 xml:space="preserve">GCSE Art, Craft &amp; Design: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u w:val="single"/>
              </w:rPr>
              <w:t>Favourite Things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AO1 Critical understanding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AO2 Creative making</w:t>
            </w:r>
          </w:p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AO3 Reflective recording</w:t>
            </w:r>
          </w:p>
        </w:tc>
        <w:tc>
          <w:tcPr>
            <w:tcW w:w="20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 xml:space="preserve">GCSE Art, Craft &amp; Design: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u w:val="single"/>
              </w:rPr>
              <w:t>Favourite Things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AO1 Critical understanding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AO2 Creative making</w:t>
            </w:r>
          </w:p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AO3 Reflective recording</w:t>
            </w:r>
          </w:p>
        </w:tc>
      </w:tr>
      <w:tr>
        <w:trPr>
          <w:trHeight w:val="413"/>
        </w:trPr>
        <w:tc>
          <w:tcPr>
            <w:tcW w:w="49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  <w:tc>
          <w:tcPr>
            <w:tcW w:w="631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spacing w:after="0" w:line="240" w:lineRule="auto"/>
              <w:jc w:val="center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Autumn 1</w:t>
            </w: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70C0"/>
          </w:tcPr>
          <w:p>
            <w:pPr>
              <w:spacing w:after="0" w:line="240" w:lineRule="auto"/>
              <w:jc w:val="center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Autumn 2</w:t>
            </w: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spacing w:after="0" w:line="240" w:lineRule="auto"/>
              <w:jc w:val="center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Spring 1</w:t>
            </w:r>
          </w:p>
        </w:tc>
        <w:tc>
          <w:tcPr>
            <w:tcW w:w="20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70C0"/>
          </w:tcPr>
          <w:p>
            <w:pPr>
              <w:spacing w:after="0" w:line="240" w:lineRule="auto"/>
              <w:jc w:val="center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Spring 2</w:t>
            </w: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spacing w:after="0" w:line="240" w:lineRule="auto"/>
              <w:jc w:val="center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Summer 1</w:t>
            </w:r>
          </w:p>
        </w:tc>
        <w:tc>
          <w:tcPr>
            <w:tcW w:w="20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70C0"/>
          </w:tcPr>
          <w:p>
            <w:pPr>
              <w:spacing w:after="0" w:line="240" w:lineRule="auto"/>
              <w:jc w:val="center"/>
              <w:rPr>
                <w:rFonts w:ascii="Calibri Light" w:eastAsia="Arial" w:hAnsi="Calibri Light" w:cs="Calibri Light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Summer 2</w:t>
            </w:r>
          </w:p>
        </w:tc>
      </w:tr>
      <w:tr>
        <w:trPr>
          <w:trHeight w:val="413"/>
        </w:trPr>
        <w:tc>
          <w:tcPr>
            <w:tcW w:w="49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  <w:tc>
          <w:tcPr>
            <w:tcW w:w="631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  <w:t>Year 11</w:t>
            </w:r>
          </w:p>
        </w:tc>
        <w:tc>
          <w:tcPr>
            <w:tcW w:w="20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 xml:space="preserve">GCSE Art, Craft &amp; Design: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u w:val="single"/>
              </w:rPr>
              <w:t>Favourite Things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AO1 Critical understanding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AO2 Creative making</w:t>
            </w:r>
          </w:p>
          <w:p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AO3 Reflective recording</w:t>
            </w: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 xml:space="preserve">GCSE Art, Craft &amp; Design: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u w:val="single"/>
              </w:rPr>
              <w:t>Favourite Things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AO1 Critical understanding</w:t>
            </w:r>
          </w:p>
          <w:p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AO2 Creative making</w:t>
            </w:r>
          </w:p>
          <w:p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AO3 Reflective recording</w:t>
            </w: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>GCSE Art, Craft &amp; Design: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</w:rPr>
              <w:t>Externally Set Task (EST</w:t>
            </w:r>
            <w:r>
              <w:rPr>
                <w:rFonts w:ascii="Calibri Light" w:eastAsia="Arial" w:hAnsi="Calibri Light" w:cs="Calibri Light"/>
                <w:sz w:val="20"/>
                <w:szCs w:val="20"/>
              </w:rPr>
              <w:t>) 40%</w:t>
            </w:r>
          </w:p>
        </w:tc>
        <w:tc>
          <w:tcPr>
            <w:tcW w:w="20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 xml:space="preserve">GCSE Art, Craft &amp; Design: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</w:rPr>
              <w:t xml:space="preserve">Externally Set Task (EST) </w:t>
            </w:r>
            <w:r>
              <w:rPr>
                <w:rFonts w:ascii="Calibri Light" w:eastAsia="Arial" w:hAnsi="Calibri Light" w:cs="Calibri Light"/>
                <w:sz w:val="20"/>
                <w:szCs w:val="20"/>
              </w:rPr>
              <w:t>40%</w:t>
            </w:r>
          </w:p>
          <w:p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eastAsia="Arial" w:hAnsi="Calibri Light" w:cs="Calibri Light"/>
                <w:sz w:val="20"/>
                <w:szCs w:val="20"/>
                <w:u w:val="single"/>
              </w:rPr>
              <w:t xml:space="preserve">GCSE Art, Craft &amp; Design: 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</w:rPr>
              <w:t xml:space="preserve">Externally Set Task (EST) </w:t>
            </w:r>
            <w:r>
              <w:rPr>
                <w:rFonts w:ascii="Calibri Light" w:eastAsia="Arial" w:hAnsi="Calibri Light" w:cs="Calibri Light"/>
                <w:sz w:val="20"/>
                <w:szCs w:val="20"/>
              </w:rPr>
              <w:t>40%</w:t>
            </w:r>
          </w:p>
          <w:p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</w:pPr>
          </w:p>
          <w:p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lang w:val="en-GB"/>
              </w:rPr>
              <w:t>Final assessment – 10 hours</w:t>
            </w:r>
          </w:p>
        </w:tc>
        <w:tc>
          <w:tcPr>
            <w:tcW w:w="20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</w:pPr>
          </w:p>
        </w:tc>
      </w:tr>
      <w:tr>
        <w:trPr>
          <w:trHeight w:val="413"/>
        </w:trPr>
        <w:tc>
          <w:tcPr>
            <w:tcW w:w="49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lang w:val="en-GB"/>
              </w:rPr>
              <w:lastRenderedPageBreak/>
              <w:t>Key Stage 4</w:t>
            </w:r>
          </w:p>
          <w:p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lang w:val="en-GB"/>
              </w:rPr>
              <w:t xml:space="preserve"> </w:t>
            </w:r>
          </w:p>
        </w:tc>
        <w:tc>
          <w:tcPr>
            <w:tcW w:w="631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Autumn 1</w:t>
            </w: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1"/>
          </w:tcPr>
          <w:p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Autumn 2</w:t>
            </w: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Spring 1</w:t>
            </w:r>
          </w:p>
        </w:tc>
        <w:tc>
          <w:tcPr>
            <w:tcW w:w="20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1"/>
          </w:tcPr>
          <w:p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Spring 2</w:t>
            </w: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Summer 1</w:t>
            </w:r>
          </w:p>
        </w:tc>
        <w:tc>
          <w:tcPr>
            <w:tcW w:w="20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1"/>
          </w:tcPr>
          <w:p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Summer 2</w:t>
            </w:r>
          </w:p>
        </w:tc>
      </w:tr>
      <w:tr>
        <w:trPr>
          <w:trHeight w:val="413"/>
        </w:trPr>
        <w:tc>
          <w:tcPr>
            <w:tcW w:w="49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  <w:tc>
          <w:tcPr>
            <w:tcW w:w="631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16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lang w:val="en-GB"/>
              </w:rPr>
              <w:t>Year 10</w:t>
            </w:r>
          </w:p>
        </w:tc>
        <w:tc>
          <w:tcPr>
            <w:tcW w:w="20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Theme="majorHAnsi" w:eastAsia="Arial" w:hAnsiTheme="majorHAnsi" w:cstheme="majorHAnsi"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u w:val="single"/>
                <w:lang w:val="en-GB"/>
              </w:rPr>
              <w:t>Eduqas</w:t>
            </w:r>
            <w:proofErr w:type="spellEnd"/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u w:val="single"/>
                <w:lang w:val="en-GB"/>
              </w:rPr>
              <w:t xml:space="preserve"> Hospitality &amp; Catering (Technical Award)</w:t>
            </w:r>
          </w:p>
          <w:p>
            <w:pPr>
              <w:spacing w:after="0"/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</w:pPr>
          </w:p>
          <w:p>
            <w:pPr>
              <w:spacing w:after="0"/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 xml:space="preserve">Unit 1 – Hospitality and employment </w:t>
            </w:r>
            <w:proofErr w:type="spellStart"/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>roles</w:t>
            </w:r>
            <w:proofErr w:type="spellEnd"/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>. Food preparation skills and cooking</w:t>
            </w: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Theme="majorHAnsi" w:eastAsia="Arial" w:hAnsiTheme="majorHAnsi" w:cstheme="majorHAnsi"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u w:val="single"/>
                <w:lang w:val="en-GB"/>
              </w:rPr>
              <w:t>Eduqas</w:t>
            </w:r>
            <w:proofErr w:type="spellEnd"/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u w:val="single"/>
                <w:lang w:val="en-GB"/>
              </w:rPr>
              <w:t xml:space="preserve"> Hospitality &amp; Catering (Technical Award)</w:t>
            </w:r>
          </w:p>
          <w:p>
            <w:pPr>
              <w:spacing w:after="0"/>
              <w:jc w:val="center"/>
              <w:rPr>
                <w:rFonts w:asciiTheme="majorHAnsi" w:eastAsia="Arial" w:hAnsiTheme="majorHAnsi" w:cstheme="majorHAnsi"/>
                <w:bCs/>
                <w:sz w:val="20"/>
                <w:szCs w:val="20"/>
                <w:u w:val="single"/>
                <w:lang w:val="en-GB"/>
              </w:rPr>
            </w:pPr>
          </w:p>
          <w:p>
            <w:pPr>
              <w:spacing w:after="0"/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>Unit 1 – The economy and Health &amp; Safety. Food preparation skills and cooking</w:t>
            </w: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Theme="majorHAnsi" w:eastAsia="Arial" w:hAnsiTheme="majorHAnsi" w:cstheme="majorHAnsi"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u w:val="single"/>
                <w:lang w:val="en-GB"/>
              </w:rPr>
              <w:t>Eduqas</w:t>
            </w:r>
            <w:proofErr w:type="spellEnd"/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u w:val="single"/>
                <w:lang w:val="en-GB"/>
              </w:rPr>
              <w:t xml:space="preserve"> Hospitality &amp; Catering (Technical Award)</w:t>
            </w:r>
          </w:p>
          <w:p>
            <w:pPr>
              <w:spacing w:after="0"/>
              <w:jc w:val="center"/>
              <w:rPr>
                <w:rFonts w:asciiTheme="majorHAnsi" w:eastAsia="Arial" w:hAnsiTheme="majorHAnsi" w:cstheme="majorHAnsi"/>
                <w:bCs/>
                <w:sz w:val="20"/>
                <w:szCs w:val="20"/>
                <w:u w:val="single"/>
                <w:lang w:val="en-GB"/>
              </w:rPr>
            </w:pPr>
          </w:p>
          <w:p>
            <w:pPr>
              <w:spacing w:after="0"/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>Unit 1 – Manual handling, HACCP &amp; causes of illness and the role of the EHO. Food preparation skills and cooking</w:t>
            </w:r>
          </w:p>
        </w:tc>
        <w:tc>
          <w:tcPr>
            <w:tcW w:w="20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Theme="majorHAnsi" w:eastAsia="Arial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rFonts w:asciiTheme="majorHAnsi" w:eastAsia="Arial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GB"/>
              </w:rPr>
              <w:t>Eduqas</w:t>
            </w:r>
            <w:proofErr w:type="spellEnd"/>
            <w:r>
              <w:rPr>
                <w:rFonts w:asciiTheme="majorHAnsi" w:eastAsia="Arial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GB"/>
              </w:rPr>
              <w:t xml:space="preserve"> Hospitality &amp; Catering (Technical Award)</w:t>
            </w:r>
          </w:p>
          <w:p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  <w:lang w:val="en-GB"/>
              </w:rPr>
            </w:pPr>
          </w:p>
          <w:p>
            <w:pPr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en-GB"/>
              </w:rPr>
              <w:t xml:space="preserve">Unit 1 – Food preparation techniques, garnishes &amp; decoration. </w:t>
            </w:r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>Food preparation skills and cooking</w:t>
            </w: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Theme="majorHAnsi" w:eastAsia="Arial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rFonts w:asciiTheme="majorHAnsi" w:eastAsia="Arial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GB"/>
              </w:rPr>
              <w:t>Eduqas</w:t>
            </w:r>
            <w:proofErr w:type="spellEnd"/>
            <w:r>
              <w:rPr>
                <w:rFonts w:asciiTheme="majorHAnsi" w:eastAsia="Arial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GB"/>
              </w:rPr>
              <w:t xml:space="preserve"> Hospitality &amp; Catering (Technical Award)</w:t>
            </w:r>
          </w:p>
          <w:p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  <w:lang w:val="en-GB"/>
              </w:rPr>
            </w:pPr>
          </w:p>
          <w:p>
            <w:pPr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en-GB"/>
              </w:rPr>
              <w:t xml:space="preserve">Unit 2 – Impact of cooking, nutritional needs, food choice and planning documentation. </w:t>
            </w:r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>Food preparation skills and cooking</w:t>
            </w:r>
          </w:p>
        </w:tc>
        <w:tc>
          <w:tcPr>
            <w:tcW w:w="20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Theme="majorHAnsi" w:eastAsia="Arial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rFonts w:asciiTheme="majorHAnsi" w:eastAsia="Arial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GB"/>
              </w:rPr>
              <w:t>Eduqas</w:t>
            </w:r>
            <w:proofErr w:type="spellEnd"/>
            <w:r>
              <w:rPr>
                <w:rFonts w:asciiTheme="majorHAnsi" w:eastAsia="Arial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GB"/>
              </w:rPr>
              <w:t xml:space="preserve"> Hospitality &amp; Catering (Technical Award)</w:t>
            </w:r>
          </w:p>
          <w:p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  <w:lang w:val="en-GB"/>
              </w:rPr>
            </w:pPr>
          </w:p>
          <w:p>
            <w:pPr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en-GB"/>
              </w:rPr>
              <w:t xml:space="preserve">Unit 2 – Practise assessment based on a prior examined theme. </w:t>
            </w:r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>Food preparation skills and cooking</w:t>
            </w:r>
          </w:p>
        </w:tc>
      </w:tr>
      <w:tr>
        <w:trPr>
          <w:trHeight w:val="413"/>
        </w:trPr>
        <w:tc>
          <w:tcPr>
            <w:tcW w:w="49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  <w:tc>
          <w:tcPr>
            <w:tcW w:w="631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16"/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lang w:val="en-GB"/>
              </w:rPr>
            </w:pPr>
            <w:r>
              <w:rPr>
                <w:rFonts w:ascii="Calibri" w:eastAsia="Arial" w:hAnsi="Calibri" w:cs="Calibri"/>
                <w:b/>
                <w:bCs/>
                <w:color w:val="FFFFFF" w:themeColor="background1"/>
                <w:lang w:val="en-GB"/>
              </w:rPr>
              <w:t>Autumn 1</w:t>
            </w: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1"/>
          </w:tcPr>
          <w:p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Autumn 2</w:t>
            </w: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Spring 1</w:t>
            </w:r>
          </w:p>
        </w:tc>
        <w:tc>
          <w:tcPr>
            <w:tcW w:w="20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1"/>
          </w:tcPr>
          <w:p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Spring 2</w:t>
            </w: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Summer 1</w:t>
            </w:r>
          </w:p>
        </w:tc>
        <w:tc>
          <w:tcPr>
            <w:tcW w:w="20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472C4" w:themeFill="accent1"/>
          </w:tcPr>
          <w:p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  <w:t>Summer 2</w:t>
            </w:r>
          </w:p>
        </w:tc>
      </w:tr>
      <w:tr>
        <w:trPr>
          <w:trHeight w:val="413"/>
        </w:trPr>
        <w:tc>
          <w:tcPr>
            <w:tcW w:w="49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002060"/>
          </w:tcPr>
          <w:p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  <w:tc>
          <w:tcPr>
            <w:tcW w:w="631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16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lang w:val="en-GB"/>
              </w:rPr>
              <w:t>Year 11</w:t>
            </w:r>
          </w:p>
        </w:tc>
        <w:tc>
          <w:tcPr>
            <w:tcW w:w="20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Theme="majorHAnsi" w:eastAsia="Arial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rFonts w:asciiTheme="majorHAnsi" w:eastAsia="Arial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GB"/>
              </w:rPr>
              <w:t>Eduqas</w:t>
            </w:r>
            <w:proofErr w:type="spellEnd"/>
            <w:r>
              <w:rPr>
                <w:rFonts w:asciiTheme="majorHAnsi" w:eastAsia="Arial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GB"/>
              </w:rPr>
              <w:t xml:space="preserve"> Hospitality &amp; Catering (Technical Award)</w:t>
            </w:r>
          </w:p>
          <w:p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  <w:p>
            <w:pPr>
              <w:spacing w:after="0"/>
              <w:rPr>
                <w:rFonts w:asciiTheme="majorHAnsi" w:eastAsia="Arial" w:hAnsiTheme="majorHAnsi" w:cstheme="majorHAnsi"/>
                <w:bCs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ajorHAnsi" w:eastAsia="Arial" w:hAnsiTheme="majorHAnsi" w:cstheme="majorHAnsi"/>
                <w:bCs/>
                <w:color w:val="000000" w:themeColor="text1"/>
                <w:sz w:val="20"/>
                <w:szCs w:val="16"/>
                <w:lang w:val="en-GB"/>
              </w:rPr>
              <w:t xml:space="preserve">Unit 1 – Legislation, HACCPS, role of the EHO. </w:t>
            </w:r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>Food preparation skills and cooking</w:t>
            </w: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Theme="majorHAnsi" w:eastAsia="Arial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rFonts w:asciiTheme="majorHAnsi" w:eastAsia="Arial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GB"/>
              </w:rPr>
              <w:t>Eduqas</w:t>
            </w:r>
            <w:proofErr w:type="spellEnd"/>
            <w:r>
              <w:rPr>
                <w:rFonts w:asciiTheme="majorHAnsi" w:eastAsia="Arial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GB"/>
              </w:rPr>
              <w:t xml:space="preserve"> Hospitality &amp; Catering (Technical Award)</w:t>
            </w:r>
          </w:p>
          <w:p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GB"/>
              </w:rPr>
            </w:pPr>
          </w:p>
          <w:p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en-GB"/>
              </w:rPr>
              <w:t xml:space="preserve">Unit 2 – Practise assessment based on a prior examined theme. </w:t>
            </w:r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>Food preparation skills and cooking</w:t>
            </w:r>
          </w:p>
        </w:tc>
        <w:tc>
          <w:tcPr>
            <w:tcW w:w="401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Theme="majorHAnsi" w:eastAsia="Arial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rFonts w:asciiTheme="majorHAnsi" w:eastAsia="Arial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GB"/>
              </w:rPr>
              <w:t>Eduqas</w:t>
            </w:r>
            <w:proofErr w:type="spellEnd"/>
            <w:r>
              <w:rPr>
                <w:rFonts w:asciiTheme="majorHAnsi" w:eastAsia="Arial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GB"/>
              </w:rPr>
              <w:t xml:space="preserve"> Hospitality &amp; Catering (Technical Award)</w:t>
            </w:r>
          </w:p>
          <w:p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GB"/>
              </w:rPr>
            </w:pPr>
          </w:p>
          <w:p>
            <w:pPr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lang w:val="en-GB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0"/>
                <w:lang w:val="en-GB"/>
              </w:rPr>
              <w:t>Unit 1 – Externally set task. Examine nutritional needs, impact of cooking, food choice factors. Planning documentation.</w:t>
            </w:r>
          </w:p>
          <w:p>
            <w:pPr>
              <w:spacing w:after="0" w:line="240" w:lineRule="auto"/>
              <w:rPr>
                <w:rFonts w:asciiTheme="majorHAnsi" w:eastAsia="Calibri" w:hAnsiTheme="majorHAnsi" w:cstheme="majorHAnsi"/>
                <w:color w:val="000000" w:themeColor="text1"/>
                <w:lang w:val="en-GB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lang w:val="en-GB"/>
              </w:rPr>
              <w:t xml:space="preserve">Final cook – 2 dishes in response to set scenario. </w:t>
            </w:r>
          </w:p>
          <w:p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GB"/>
              </w:rPr>
            </w:pPr>
          </w:p>
          <w:p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GB"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Theme="majorHAnsi" w:eastAsia="Arial" w:hAnsiTheme="majorHAnsi" w:cstheme="majorHAnsi"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u w:val="single"/>
                <w:lang w:val="en-GB"/>
              </w:rPr>
              <w:t>Eduqas</w:t>
            </w:r>
            <w:proofErr w:type="spellEnd"/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u w:val="single"/>
                <w:lang w:val="en-GB"/>
              </w:rPr>
              <w:t xml:space="preserve"> Hospitality &amp; Catering (Technical Award)</w:t>
            </w:r>
          </w:p>
          <w:p>
            <w:pPr>
              <w:spacing w:after="0"/>
              <w:jc w:val="center"/>
              <w:rPr>
                <w:rFonts w:asciiTheme="majorHAnsi" w:eastAsia="Arial" w:hAnsiTheme="majorHAnsi" w:cstheme="majorHAnsi"/>
                <w:bCs/>
                <w:sz w:val="20"/>
                <w:szCs w:val="20"/>
                <w:u w:val="single"/>
                <w:lang w:val="en-GB"/>
              </w:rPr>
            </w:pPr>
          </w:p>
          <w:p>
            <w:pPr>
              <w:spacing w:after="0"/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 xml:space="preserve">Final exam </w:t>
            </w:r>
          </w:p>
          <w:p>
            <w:pPr>
              <w:spacing w:after="0"/>
              <w:jc w:val="center"/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eastAsia="Arial" w:hAnsiTheme="majorHAnsi" w:cstheme="majorHAnsi"/>
                <w:bCs/>
                <w:sz w:val="20"/>
                <w:szCs w:val="20"/>
                <w:lang w:val="en-GB"/>
              </w:rPr>
              <w:t>Unit 1: The hospitality and catering industry. 1h 20mins / 40% of qualification</w:t>
            </w:r>
          </w:p>
        </w:tc>
        <w:tc>
          <w:tcPr>
            <w:tcW w:w="20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val="en-GB"/>
              </w:rPr>
            </w:pPr>
          </w:p>
        </w:tc>
      </w:tr>
    </w:tbl>
    <w:p/>
    <w:p/>
    <w:p/>
    <w:sectPr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1981200" cy="594995"/>
          <wp:effectExtent l="0" t="0" r="0" b="0"/>
          <wp:wrapTight wrapText="bothSides">
            <wp:wrapPolygon edited="0">
              <wp:start x="0" y="0"/>
              <wp:lineTo x="0" y="20747"/>
              <wp:lineTo x="21392" y="20747"/>
              <wp:lineTo x="21392" y="0"/>
              <wp:lineTo x="0" y="0"/>
            </wp:wrapPolygon>
          </wp:wrapTight>
          <wp:docPr id="6" name="Picture 6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Subject: Design &amp;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E4F28"/>
    <w:multiLevelType w:val="multilevel"/>
    <w:tmpl w:val="FF7E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C40A58"/>
    <w:multiLevelType w:val="hybridMultilevel"/>
    <w:tmpl w:val="08062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13A38"/>
    <w:multiLevelType w:val="hybridMultilevel"/>
    <w:tmpl w:val="481CC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F0BE5"/>
    <w:multiLevelType w:val="hybridMultilevel"/>
    <w:tmpl w:val="1D3CD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52137B36-FCAD-4ADE-B765-441C4D35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xcontentpasted3">
    <w:name w:val="x_contentpasted3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C40DC-41F4-4CD6-BBB3-87DF9AAF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 Durham</dc:creator>
  <cp:keywords/>
  <dc:description/>
  <cp:lastModifiedBy>Rothwellka</cp:lastModifiedBy>
  <cp:revision>2</cp:revision>
  <cp:lastPrinted>2023-05-04T06:11:00Z</cp:lastPrinted>
  <dcterms:created xsi:type="dcterms:W3CDTF">2023-09-18T12:41:00Z</dcterms:created>
  <dcterms:modified xsi:type="dcterms:W3CDTF">2023-09-18T12:41:00Z</dcterms:modified>
</cp:coreProperties>
</file>