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99"/>
        <w:ind w:left="390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89100" cy="1226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2663"/>
        </w:rPr>
        <w:t xml:space="preserve"> </w:t>
      </w:r>
    </w:p>
    <w:p>
      <w:pPr>
        <w:spacing w:after="142"/>
        <w:ind w:left="161"/>
        <w:jc w:val="center"/>
        <w:rPr>
          <w:color w:val="002663"/>
          <w:sz w:val="24"/>
          <w:u w:val="single"/>
        </w:rPr>
      </w:pPr>
      <w:r>
        <w:rPr>
          <w:color w:val="002663"/>
          <w:sz w:val="24"/>
          <w:u w:val="single" w:color="002663"/>
        </w:rPr>
        <w:t>An evaluation of the CEIAG provision at St Antony’s</w:t>
      </w:r>
      <w:r>
        <w:rPr>
          <w:color w:val="002663"/>
          <w:sz w:val="24"/>
          <w:u w:val="single"/>
        </w:rPr>
        <w:t xml:space="preserve"> – September 2024</w:t>
      </w:r>
    </w:p>
    <w:p>
      <w:pPr>
        <w:spacing w:after="158"/>
      </w:pPr>
    </w:p>
    <w:p>
      <w:pPr>
        <w:spacing w:after="158"/>
        <w:rPr>
          <w:color w:val="FF0000"/>
        </w:rPr>
      </w:pPr>
      <w:r>
        <w:rPr>
          <w:color w:val="002663"/>
        </w:rPr>
        <w:t xml:space="preserve">As shown in the table below, St Antony’s students have a lower percentage of NEET (Not in Education, Employment or Training) students’ trend than the national average </w:t>
      </w:r>
      <w:r>
        <w:rPr>
          <w:color w:val="002060"/>
        </w:rPr>
        <w:t>since the COVID pandemic</w:t>
      </w:r>
      <w:r>
        <w:rPr>
          <w:color w:val="002663"/>
        </w:rPr>
        <w:t xml:space="preserve">. This suggests that our students usually move on to appropriate next steps as supported by the St Antony’s CEIAG programme. </w:t>
      </w:r>
      <w:r>
        <w:rPr>
          <w:color w:val="002060"/>
        </w:rPr>
        <w:t xml:space="preserve">We recognise the data from 2023 is disappointing but also note that this cohort numbered only 104 and so this data reflects 5 individuals. 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55"/>
        <w:gridCol w:w="1458"/>
        <w:gridCol w:w="1458"/>
        <w:gridCol w:w="1458"/>
        <w:gridCol w:w="1458"/>
        <w:gridCol w:w="1456"/>
        <w:gridCol w:w="145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Align w:val="center"/>
          </w:tcPr>
          <w:p>
            <w:pPr>
              <w:spacing w:after="396"/>
              <w:jc w:val="center"/>
              <w:rPr>
                <w:color w:val="FFFFFF" w:themeColor="background1"/>
              </w:rPr>
            </w:pPr>
            <w:r>
              <w:rPr>
                <w:color w:val="002663"/>
              </w:rPr>
              <w:t xml:space="preserve"> </w:t>
            </w:r>
            <w:r>
              <w:rPr>
                <w:color w:val="FFFFFF" w:themeColor="background1"/>
              </w:rPr>
              <w:t>%NEET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Latest average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2023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 year trend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2022</w:t>
            </w:r>
          </w:p>
        </w:tc>
        <w:tc>
          <w:tcPr>
            <w:tcW w:w="707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2021</w:t>
            </w:r>
          </w:p>
        </w:tc>
        <w:tc>
          <w:tcPr>
            <w:tcW w:w="706" w:type="pct"/>
            <w:vAlign w:val="center"/>
          </w:tcPr>
          <w:p>
            <w:pPr>
              <w:spacing w:after="3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Align w:val="center"/>
          </w:tcPr>
          <w:p>
            <w:pPr>
              <w:spacing w:after="396"/>
              <w:jc w:val="center"/>
            </w:pPr>
            <w:r>
              <w:t>St Antony’s</w:t>
            </w:r>
          </w:p>
        </w:tc>
        <w:tc>
          <w:tcPr>
            <w:tcW w:w="708" w:type="pct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1.64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4.81</w:t>
            </w:r>
          </w:p>
        </w:tc>
        <w:tc>
          <w:tcPr>
            <w:tcW w:w="708" w:type="pct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0.58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1.74</w:t>
            </w:r>
          </w:p>
        </w:tc>
        <w:tc>
          <w:tcPr>
            <w:tcW w:w="707" w:type="pct"/>
            <w:vAlign w:val="center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706" w:type="pct"/>
            <w:vAlign w:val="center"/>
          </w:tcPr>
          <w:p>
            <w:pPr>
              <w:spacing w:after="3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</w:t>
            </w:r>
          </w:p>
        </w:tc>
      </w:tr>
      <w:tr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Align w:val="center"/>
          </w:tcPr>
          <w:p>
            <w:pPr>
              <w:spacing w:after="396"/>
              <w:jc w:val="center"/>
            </w:pPr>
            <w:r>
              <w:t>National</w:t>
            </w:r>
          </w:p>
        </w:tc>
        <w:tc>
          <w:tcPr>
            <w:tcW w:w="708" w:type="pct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1.84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1.36</w:t>
            </w:r>
          </w:p>
        </w:tc>
        <w:tc>
          <w:tcPr>
            <w:tcW w:w="708" w:type="pct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</w:t>
            </w:r>
          </w:p>
        </w:tc>
        <w:tc>
          <w:tcPr>
            <w:tcW w:w="708" w:type="pct"/>
            <w:vAlign w:val="center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2.20</w:t>
            </w:r>
          </w:p>
        </w:tc>
        <w:tc>
          <w:tcPr>
            <w:tcW w:w="707" w:type="pct"/>
            <w:vAlign w:val="center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706" w:type="pct"/>
            <w:vAlign w:val="center"/>
          </w:tcPr>
          <w:p>
            <w:pPr>
              <w:spacing w:after="3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1.90</w:t>
            </w:r>
          </w:p>
        </w:tc>
      </w:tr>
    </w:tbl>
    <w:p>
      <w:pPr>
        <w:tabs>
          <w:tab w:val="center" w:pos="2417"/>
          <w:tab w:val="center" w:pos="3353"/>
          <w:tab w:val="center" w:pos="4289"/>
          <w:tab w:val="center" w:pos="5225"/>
        </w:tabs>
        <w:spacing w:after="135"/>
      </w:pPr>
      <w:r>
        <w:rPr>
          <w:b/>
          <w:color w:val="FFFFFF"/>
          <w:sz w:val="24"/>
        </w:rPr>
        <w:t>% NEET</w:t>
      </w:r>
      <w:r>
        <w:rPr>
          <w:rFonts w:ascii="Arial" w:eastAsia="Arial" w:hAnsi="Arial" w:cs="Arial"/>
          <w:sz w:val="36"/>
        </w:rPr>
        <w:t xml:space="preserve"> </w:t>
      </w:r>
      <w:r>
        <w:rPr>
          <w:b/>
          <w:color w:val="FFFFFF"/>
          <w:sz w:val="24"/>
        </w:rPr>
        <w:t>2020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rPr>
          <w:b/>
          <w:color w:val="FFFFFF"/>
          <w:sz w:val="24"/>
        </w:rPr>
        <w:t>2019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rPr>
          <w:b/>
          <w:color w:val="FFFFFF"/>
          <w:sz w:val="24"/>
        </w:rPr>
        <w:t>2018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rPr>
          <w:b/>
          <w:color w:val="FFFFFF"/>
          <w:sz w:val="24"/>
        </w:rPr>
        <w:t>2017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rPr>
          <w:b/>
          <w:color w:val="FFFFFF"/>
          <w:sz w:val="24"/>
        </w:rPr>
        <w:t>2016</w:t>
      </w:r>
      <w:r>
        <w:rPr>
          <w:rFonts w:ascii="Arial" w:eastAsia="Arial" w:hAnsi="Arial" w:cs="Arial"/>
          <w:sz w:val="36"/>
        </w:rPr>
        <w:t xml:space="preserve"> </w:t>
      </w:r>
    </w:p>
    <w:p>
      <w:pPr>
        <w:spacing w:after="162" w:line="258" w:lineRule="auto"/>
        <w:rPr>
          <w:color w:val="002663"/>
        </w:rPr>
      </w:pPr>
      <w:r>
        <w:rPr>
          <w:color w:val="002663"/>
        </w:rPr>
        <w:t xml:space="preserve">St Antony’s works with the Compass Plus Careers and Enterprise evaluation service. They review the careers education offered by the school and assess this against the 8 Gatsby Benchmarks. Their evaluation of our provision is below. </w:t>
      </w:r>
    </w:p>
    <w:p>
      <w:pPr>
        <w:spacing w:after="113"/>
        <w:rPr>
          <w:color w:val="002663"/>
          <w:sz w:val="18"/>
        </w:rPr>
      </w:pPr>
      <w:r>
        <w:rPr>
          <w:color w:val="002663"/>
        </w:rPr>
        <w:t xml:space="preserve"> </w:t>
      </w:r>
      <w:r>
        <w:rPr>
          <w:noProof/>
        </w:rPr>
        <w:drawing>
          <wp:inline distT="0" distB="0" distL="0" distR="0">
            <wp:extent cx="5880509" cy="291201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793" cy="29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13"/>
      </w:pPr>
    </w:p>
    <w:p>
      <w:pPr>
        <w:spacing w:after="142"/>
        <w:ind w:left="161"/>
        <w:rPr>
          <w:color w:val="002060"/>
        </w:rPr>
      </w:pPr>
      <w:r>
        <w:rPr>
          <w:color w:val="002060"/>
        </w:rPr>
        <w:t>Next review – Spring Term 2025</w:t>
      </w:r>
    </w:p>
    <w:sectPr>
      <w:pgSz w:w="11906" w:h="16838"/>
      <w:pgMar w:top="454" w:right="87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1A387-F4EF-4AF3-B900-0613BD2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Williams</dc:creator>
  <cp:keywords/>
  <cp:lastModifiedBy>Rothwell Mrs K Headteachers PA</cp:lastModifiedBy>
  <cp:revision>2</cp:revision>
  <dcterms:created xsi:type="dcterms:W3CDTF">2024-12-19T08:26:00Z</dcterms:created>
  <dcterms:modified xsi:type="dcterms:W3CDTF">2024-12-19T08:26:00Z</dcterms:modified>
</cp:coreProperties>
</file>